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258E" w14:textId="7D4E5671" w:rsidR="00786C2D" w:rsidRPr="00786C2D" w:rsidRDefault="00B62820" w:rsidP="00786C2D">
      <w:pPr>
        <w:jc w:val="center"/>
        <w:rPr>
          <w:rFonts w:ascii="Gill Sans MT" w:hAnsi="Gill Sans MT"/>
          <w:b/>
          <w:bCs/>
          <w:sz w:val="28"/>
          <w:szCs w:val="28"/>
        </w:rPr>
      </w:pPr>
      <w:r>
        <w:rPr>
          <w:rFonts w:ascii="Gill Sans MT" w:hAnsi="Gill Sans MT"/>
          <w:b/>
          <w:bCs/>
          <w:sz w:val="28"/>
          <w:szCs w:val="28"/>
        </w:rPr>
        <w:t>Response to</w:t>
      </w:r>
    </w:p>
    <w:p w14:paraId="2667294E" w14:textId="77777777" w:rsidR="00786C2D" w:rsidRDefault="00786C2D" w:rsidP="00786C2D">
      <w:pPr>
        <w:jc w:val="center"/>
        <w:rPr>
          <w:rFonts w:ascii="Gill Sans MT" w:hAnsi="Gill Sans MT"/>
          <w:b/>
          <w:bCs/>
          <w:sz w:val="28"/>
          <w:szCs w:val="28"/>
        </w:rPr>
      </w:pPr>
      <w:r w:rsidRPr="00786C2D">
        <w:rPr>
          <w:rFonts w:ascii="Gill Sans MT" w:hAnsi="Gill Sans MT"/>
          <w:b/>
          <w:bCs/>
          <w:sz w:val="28"/>
          <w:szCs w:val="28"/>
        </w:rPr>
        <w:t xml:space="preserve">Leicester, Leicestershire and Rutland </w:t>
      </w:r>
    </w:p>
    <w:p w14:paraId="145B3664" w14:textId="61416FB4" w:rsidR="00786C2D" w:rsidRPr="00786C2D" w:rsidRDefault="00786C2D" w:rsidP="00786C2D">
      <w:pPr>
        <w:jc w:val="center"/>
        <w:rPr>
          <w:rFonts w:ascii="Gill Sans MT" w:hAnsi="Gill Sans MT"/>
          <w:b/>
          <w:bCs/>
          <w:sz w:val="28"/>
          <w:szCs w:val="28"/>
        </w:rPr>
      </w:pPr>
      <w:r w:rsidRPr="00786C2D">
        <w:rPr>
          <w:rFonts w:ascii="Gill Sans MT" w:hAnsi="Gill Sans MT"/>
          <w:b/>
          <w:bCs/>
          <w:sz w:val="28"/>
          <w:szCs w:val="28"/>
        </w:rPr>
        <w:t>Strategic Commissioning Group</w:t>
      </w:r>
    </w:p>
    <w:p w14:paraId="7A5715B6" w14:textId="53B7F6C9" w:rsidR="00786C2D" w:rsidRDefault="00786C2D" w:rsidP="00786C2D">
      <w:pPr>
        <w:jc w:val="center"/>
        <w:rPr>
          <w:rFonts w:ascii="Gill Sans MT" w:hAnsi="Gill Sans MT"/>
          <w:b/>
          <w:bCs/>
          <w:sz w:val="28"/>
          <w:szCs w:val="28"/>
        </w:rPr>
      </w:pPr>
      <w:r w:rsidRPr="00786C2D">
        <w:rPr>
          <w:rFonts w:ascii="Gill Sans MT" w:hAnsi="Gill Sans MT"/>
          <w:b/>
          <w:bCs/>
          <w:sz w:val="28"/>
          <w:szCs w:val="28"/>
        </w:rPr>
        <w:t>St Elizabeth</w:t>
      </w:r>
      <w:r w:rsidR="001C2612">
        <w:rPr>
          <w:rFonts w:ascii="Gill Sans MT" w:hAnsi="Gill Sans MT"/>
          <w:b/>
          <w:bCs/>
          <w:sz w:val="28"/>
          <w:szCs w:val="28"/>
        </w:rPr>
        <w:t>’</w:t>
      </w:r>
      <w:r w:rsidRPr="00786C2D">
        <w:rPr>
          <w:rFonts w:ascii="Gill Sans MT" w:hAnsi="Gill Sans MT"/>
          <w:b/>
          <w:bCs/>
          <w:sz w:val="28"/>
          <w:szCs w:val="28"/>
        </w:rPr>
        <w:t xml:space="preserve">s Branch Surgery Closure </w:t>
      </w:r>
    </w:p>
    <w:p w14:paraId="3C4A036C" w14:textId="5EA851CD" w:rsidR="004F7217" w:rsidRDefault="00786C2D" w:rsidP="00786C2D">
      <w:pPr>
        <w:jc w:val="center"/>
        <w:rPr>
          <w:rFonts w:ascii="Gill Sans MT" w:hAnsi="Gill Sans MT"/>
          <w:b/>
          <w:bCs/>
          <w:sz w:val="28"/>
          <w:szCs w:val="28"/>
        </w:rPr>
      </w:pPr>
      <w:r w:rsidRPr="00786C2D">
        <w:rPr>
          <w:rFonts w:ascii="Gill Sans MT" w:hAnsi="Gill Sans MT"/>
          <w:b/>
          <w:bCs/>
          <w:sz w:val="28"/>
          <w:szCs w:val="28"/>
        </w:rPr>
        <w:t>Internal Independent Review.</w:t>
      </w:r>
    </w:p>
    <w:p w14:paraId="4038C42D" w14:textId="77777777" w:rsidR="00786C2D" w:rsidRDefault="00786C2D" w:rsidP="00786C2D">
      <w:pPr>
        <w:jc w:val="center"/>
        <w:rPr>
          <w:rFonts w:ascii="Gill Sans MT" w:hAnsi="Gill Sans MT"/>
          <w:b/>
          <w:bCs/>
          <w:sz w:val="28"/>
          <w:szCs w:val="28"/>
        </w:rPr>
      </w:pPr>
    </w:p>
    <w:p w14:paraId="6BC2F6B3" w14:textId="2C69278D" w:rsidR="00786C2D" w:rsidRPr="003C540B" w:rsidRDefault="00786C2D" w:rsidP="00B62820">
      <w:pPr>
        <w:jc w:val="both"/>
        <w:rPr>
          <w:rFonts w:ascii="Gill Sans MT" w:hAnsi="Gill Sans MT"/>
          <w:sz w:val="24"/>
          <w:szCs w:val="24"/>
        </w:rPr>
      </w:pPr>
      <w:r w:rsidRPr="003C540B">
        <w:rPr>
          <w:rFonts w:ascii="Gill Sans MT" w:hAnsi="Gill Sans MT"/>
          <w:sz w:val="24"/>
          <w:szCs w:val="24"/>
        </w:rPr>
        <w:t xml:space="preserve">I am unsure what this review was independent of as both St Elizabeth’s Medical </w:t>
      </w:r>
      <w:r w:rsidR="007B2F80">
        <w:rPr>
          <w:rFonts w:ascii="Gill Sans MT" w:hAnsi="Gill Sans MT"/>
          <w:sz w:val="24"/>
          <w:szCs w:val="24"/>
        </w:rPr>
        <w:t>Centre</w:t>
      </w:r>
      <w:r w:rsidRPr="003C540B">
        <w:rPr>
          <w:rFonts w:ascii="Gill Sans MT" w:hAnsi="Gill Sans MT"/>
          <w:sz w:val="24"/>
          <w:szCs w:val="24"/>
        </w:rPr>
        <w:t xml:space="preserve"> and the Integrated Care Board have questions to answer about the conduct of </w:t>
      </w:r>
      <w:r w:rsidR="00232EC9">
        <w:rPr>
          <w:rFonts w:ascii="Gill Sans MT" w:hAnsi="Gill Sans MT"/>
          <w:sz w:val="24"/>
          <w:szCs w:val="24"/>
        </w:rPr>
        <w:t xml:space="preserve">the </w:t>
      </w:r>
      <w:r w:rsidR="00D55269">
        <w:rPr>
          <w:rFonts w:ascii="Gill Sans MT" w:hAnsi="Gill Sans MT"/>
          <w:sz w:val="24"/>
          <w:szCs w:val="24"/>
        </w:rPr>
        <w:t xml:space="preserve">process of </w:t>
      </w:r>
      <w:r w:rsidRPr="003C540B">
        <w:rPr>
          <w:rFonts w:ascii="Gill Sans MT" w:hAnsi="Gill Sans MT"/>
          <w:sz w:val="24"/>
          <w:szCs w:val="24"/>
        </w:rPr>
        <w:t>the closure and the decision-making</w:t>
      </w:r>
      <w:r w:rsidR="00232EC9">
        <w:rPr>
          <w:rFonts w:ascii="Gill Sans MT" w:hAnsi="Gill Sans MT"/>
          <w:sz w:val="24"/>
          <w:szCs w:val="24"/>
        </w:rPr>
        <w:t xml:space="preserve"> mechanisms</w:t>
      </w:r>
      <w:r w:rsidRPr="003C540B">
        <w:rPr>
          <w:rFonts w:ascii="Gill Sans MT" w:hAnsi="Gill Sans MT"/>
          <w:sz w:val="24"/>
          <w:szCs w:val="24"/>
        </w:rPr>
        <w:t>. This is made more difficult to assess given the names of the report authors have been redacted.</w:t>
      </w:r>
    </w:p>
    <w:p w14:paraId="15A82305" w14:textId="52DAA5D0" w:rsidR="00786C2D" w:rsidRPr="003C540B" w:rsidRDefault="009655B2" w:rsidP="00B62820">
      <w:pPr>
        <w:jc w:val="both"/>
        <w:rPr>
          <w:rFonts w:ascii="Gill Sans MT" w:hAnsi="Gill Sans MT"/>
          <w:sz w:val="24"/>
          <w:szCs w:val="24"/>
        </w:rPr>
      </w:pPr>
      <w:r>
        <w:rPr>
          <w:rFonts w:ascii="Gill Sans MT" w:hAnsi="Gill Sans MT"/>
          <w:sz w:val="24"/>
          <w:szCs w:val="24"/>
        </w:rPr>
        <w:t>T</w:t>
      </w:r>
      <w:r w:rsidR="00786C2D" w:rsidRPr="003C540B">
        <w:rPr>
          <w:rFonts w:ascii="Gill Sans MT" w:hAnsi="Gill Sans MT"/>
          <w:sz w:val="24"/>
          <w:szCs w:val="24"/>
        </w:rPr>
        <w:t>he purpose of the review was to ‘approve and receive and note’ when one would hope the purpose was to ‘assure/reassure the Board that controls and assurances are in place.’</w:t>
      </w:r>
    </w:p>
    <w:p w14:paraId="5569E21F" w14:textId="05BAA331" w:rsidR="00786C2D" w:rsidRPr="003C540B" w:rsidRDefault="00786C2D" w:rsidP="00B62820">
      <w:pPr>
        <w:jc w:val="both"/>
        <w:rPr>
          <w:rFonts w:ascii="Gill Sans MT" w:hAnsi="Gill Sans MT"/>
          <w:sz w:val="24"/>
          <w:szCs w:val="24"/>
        </w:rPr>
      </w:pPr>
      <w:r w:rsidRPr="003C540B">
        <w:rPr>
          <w:rFonts w:ascii="Gill Sans MT" w:hAnsi="Gill Sans MT"/>
          <w:sz w:val="24"/>
          <w:szCs w:val="24"/>
        </w:rPr>
        <w:t>The report is said to be ‘helping to deliver the following strategic objective(s):</w:t>
      </w:r>
    </w:p>
    <w:p w14:paraId="1CC6967F" w14:textId="0ACC68AB" w:rsidR="00786C2D" w:rsidRPr="003C540B" w:rsidRDefault="00786C2D" w:rsidP="00B62820">
      <w:pPr>
        <w:pStyle w:val="ListParagraph"/>
        <w:numPr>
          <w:ilvl w:val="0"/>
          <w:numId w:val="1"/>
        </w:numPr>
        <w:ind w:left="709" w:hanging="709"/>
        <w:jc w:val="both"/>
        <w:rPr>
          <w:rFonts w:ascii="Gill Sans MT" w:hAnsi="Gill Sans MT"/>
          <w:sz w:val="24"/>
          <w:szCs w:val="24"/>
        </w:rPr>
      </w:pPr>
      <w:r w:rsidRPr="003C540B">
        <w:rPr>
          <w:rFonts w:ascii="Gill Sans MT" w:hAnsi="Gill Sans MT"/>
          <w:sz w:val="24"/>
          <w:szCs w:val="24"/>
        </w:rPr>
        <w:t xml:space="preserve">Improve outcomes: Improve outcomes in population health and healthcare.  </w:t>
      </w:r>
    </w:p>
    <w:p w14:paraId="5D4713B8" w14:textId="6161724F" w:rsidR="0088327D" w:rsidRPr="003C540B" w:rsidRDefault="0088327D" w:rsidP="00B62820">
      <w:pPr>
        <w:ind w:left="709"/>
        <w:jc w:val="both"/>
        <w:rPr>
          <w:rFonts w:ascii="Gill Sans MT" w:hAnsi="Gill Sans MT"/>
          <w:i/>
          <w:iCs/>
          <w:sz w:val="24"/>
          <w:szCs w:val="24"/>
        </w:rPr>
      </w:pPr>
      <w:r w:rsidRPr="003C540B">
        <w:rPr>
          <w:rFonts w:ascii="Gill Sans MT" w:hAnsi="Gill Sans MT"/>
          <w:i/>
          <w:iCs/>
          <w:sz w:val="24"/>
          <w:szCs w:val="24"/>
        </w:rPr>
        <w:t>It is difficult to support this contention given a service has been closed</w:t>
      </w:r>
      <w:r w:rsidR="00754A68">
        <w:rPr>
          <w:rFonts w:ascii="Gill Sans MT" w:hAnsi="Gill Sans MT"/>
          <w:i/>
          <w:iCs/>
          <w:sz w:val="24"/>
          <w:szCs w:val="24"/>
        </w:rPr>
        <w:t xml:space="preserve"> and many patients </w:t>
      </w:r>
      <w:r w:rsidR="001C7B04">
        <w:rPr>
          <w:rFonts w:ascii="Gill Sans MT" w:hAnsi="Gill Sans MT"/>
          <w:i/>
          <w:iCs/>
          <w:sz w:val="24"/>
          <w:szCs w:val="24"/>
        </w:rPr>
        <w:t>in the Evington Village and surrounding areas</w:t>
      </w:r>
      <w:r w:rsidR="006D0051">
        <w:rPr>
          <w:rFonts w:ascii="Gill Sans MT" w:hAnsi="Gill Sans MT"/>
          <w:i/>
          <w:iCs/>
          <w:sz w:val="24"/>
          <w:szCs w:val="24"/>
        </w:rPr>
        <w:t xml:space="preserve"> </w:t>
      </w:r>
      <w:r w:rsidR="000C4540">
        <w:rPr>
          <w:rFonts w:ascii="Gill Sans MT" w:hAnsi="Gill Sans MT"/>
          <w:i/>
          <w:iCs/>
          <w:sz w:val="24"/>
          <w:szCs w:val="24"/>
        </w:rPr>
        <w:t>inconvenienced</w:t>
      </w:r>
      <w:r w:rsidR="00C24587">
        <w:rPr>
          <w:rFonts w:ascii="Gill Sans MT" w:hAnsi="Gill Sans MT"/>
          <w:i/>
          <w:iCs/>
          <w:sz w:val="24"/>
          <w:szCs w:val="24"/>
        </w:rPr>
        <w:t>, with some</w:t>
      </w:r>
      <w:r w:rsidR="00B8554E">
        <w:rPr>
          <w:rFonts w:ascii="Gill Sans MT" w:hAnsi="Gill Sans MT"/>
          <w:i/>
          <w:iCs/>
          <w:sz w:val="24"/>
          <w:szCs w:val="24"/>
        </w:rPr>
        <w:t xml:space="preserve"> </w:t>
      </w:r>
      <w:r w:rsidR="000C4540">
        <w:rPr>
          <w:rFonts w:ascii="Gill Sans MT" w:hAnsi="Gill Sans MT"/>
          <w:i/>
          <w:iCs/>
          <w:sz w:val="24"/>
          <w:szCs w:val="24"/>
        </w:rPr>
        <w:t>having to face changing doctors or travelling further afield</w:t>
      </w:r>
      <w:r w:rsidR="00C24587">
        <w:rPr>
          <w:rFonts w:ascii="Gill Sans MT" w:hAnsi="Gill Sans MT"/>
          <w:i/>
          <w:iCs/>
          <w:sz w:val="24"/>
          <w:szCs w:val="24"/>
        </w:rPr>
        <w:t xml:space="preserve"> for GP services.</w:t>
      </w:r>
    </w:p>
    <w:p w14:paraId="09885497" w14:textId="30AAF4C4" w:rsidR="00786C2D" w:rsidRPr="003C540B" w:rsidRDefault="00786C2D" w:rsidP="00B62820">
      <w:pPr>
        <w:pStyle w:val="ListParagraph"/>
        <w:numPr>
          <w:ilvl w:val="0"/>
          <w:numId w:val="1"/>
        </w:numPr>
        <w:ind w:left="709"/>
        <w:jc w:val="both"/>
        <w:rPr>
          <w:rFonts w:ascii="Gill Sans MT" w:hAnsi="Gill Sans MT"/>
          <w:sz w:val="24"/>
          <w:szCs w:val="24"/>
        </w:rPr>
      </w:pPr>
      <w:r w:rsidRPr="003C540B">
        <w:rPr>
          <w:rFonts w:ascii="Gill Sans MT" w:hAnsi="Gill Sans MT"/>
          <w:sz w:val="24"/>
          <w:szCs w:val="24"/>
        </w:rPr>
        <w:t xml:space="preserve">Health inequalities: Tackle inequalities in outcomes, experience and access.  </w:t>
      </w:r>
    </w:p>
    <w:p w14:paraId="2069B6A2" w14:textId="36887818" w:rsidR="0088327D" w:rsidRPr="003C540B" w:rsidRDefault="0088327D" w:rsidP="00B62820">
      <w:pPr>
        <w:ind w:left="709"/>
        <w:jc w:val="both"/>
        <w:rPr>
          <w:rFonts w:ascii="Gill Sans MT" w:hAnsi="Gill Sans MT"/>
          <w:i/>
          <w:iCs/>
          <w:sz w:val="24"/>
          <w:szCs w:val="24"/>
        </w:rPr>
      </w:pPr>
      <w:r w:rsidRPr="003C540B">
        <w:rPr>
          <w:rFonts w:ascii="Gill Sans MT" w:hAnsi="Gill Sans MT"/>
          <w:i/>
          <w:iCs/>
          <w:sz w:val="24"/>
          <w:szCs w:val="24"/>
        </w:rPr>
        <w:t>The action taken makes the opposite true particularly in terms of experience and access.</w:t>
      </w:r>
      <w:r w:rsidR="00B8554E">
        <w:rPr>
          <w:rFonts w:ascii="Gill Sans MT" w:hAnsi="Gill Sans MT"/>
          <w:i/>
          <w:iCs/>
          <w:sz w:val="24"/>
          <w:szCs w:val="24"/>
        </w:rPr>
        <w:t xml:space="preserve"> </w:t>
      </w:r>
      <w:r w:rsidRPr="003C540B">
        <w:rPr>
          <w:rFonts w:ascii="Gill Sans MT" w:hAnsi="Gill Sans MT"/>
          <w:i/>
          <w:iCs/>
          <w:sz w:val="24"/>
          <w:szCs w:val="24"/>
        </w:rPr>
        <w:t>Patients of the practice have either had to register with an alternative practice when they may have been registered with the same practice for years if not decades or continue with the existing one which entails a longer journey and in some cases four bus</w:t>
      </w:r>
      <w:r w:rsidR="0087445A">
        <w:rPr>
          <w:rFonts w:ascii="Gill Sans MT" w:hAnsi="Gill Sans MT"/>
          <w:i/>
          <w:iCs/>
          <w:sz w:val="24"/>
          <w:szCs w:val="24"/>
        </w:rPr>
        <w:t xml:space="preserve"> trips</w:t>
      </w:r>
      <w:r w:rsidRPr="003C540B">
        <w:rPr>
          <w:rFonts w:ascii="Gill Sans MT" w:hAnsi="Gill Sans MT"/>
          <w:i/>
          <w:iCs/>
          <w:sz w:val="24"/>
          <w:szCs w:val="24"/>
        </w:rPr>
        <w:t>. There is no way this can be said in any way, shape or form to have improved the patient experience or access to GP services</w:t>
      </w:r>
      <w:r w:rsidR="00C346D5">
        <w:rPr>
          <w:rFonts w:ascii="Gill Sans MT" w:hAnsi="Gill Sans MT"/>
          <w:i/>
          <w:iCs/>
          <w:sz w:val="24"/>
          <w:szCs w:val="24"/>
        </w:rPr>
        <w:t xml:space="preserve"> for those living in Evington Village or the surrounding areas.</w:t>
      </w:r>
    </w:p>
    <w:p w14:paraId="047A9AC9" w14:textId="18B2BB4A" w:rsidR="00786C2D" w:rsidRPr="003C540B" w:rsidRDefault="00786C2D" w:rsidP="00B62820">
      <w:pPr>
        <w:pStyle w:val="ListParagraph"/>
        <w:numPr>
          <w:ilvl w:val="0"/>
          <w:numId w:val="1"/>
        </w:numPr>
        <w:ind w:left="709"/>
        <w:jc w:val="both"/>
        <w:rPr>
          <w:rFonts w:ascii="Gill Sans MT" w:hAnsi="Gill Sans MT"/>
          <w:sz w:val="24"/>
          <w:szCs w:val="24"/>
        </w:rPr>
      </w:pPr>
      <w:r w:rsidRPr="003C540B">
        <w:rPr>
          <w:rFonts w:ascii="Gill Sans MT" w:hAnsi="Gill Sans MT"/>
          <w:sz w:val="24"/>
          <w:szCs w:val="24"/>
        </w:rPr>
        <w:t xml:space="preserve">Value for money Enhance productivity and value for money. </w:t>
      </w:r>
    </w:p>
    <w:p w14:paraId="49248297" w14:textId="220F335C" w:rsidR="0088327D" w:rsidRPr="003C540B" w:rsidRDefault="0088327D" w:rsidP="00B62820">
      <w:pPr>
        <w:ind w:left="709"/>
        <w:jc w:val="both"/>
        <w:rPr>
          <w:rFonts w:ascii="Gill Sans MT" w:hAnsi="Gill Sans MT"/>
          <w:i/>
          <w:iCs/>
          <w:sz w:val="24"/>
          <w:szCs w:val="24"/>
        </w:rPr>
      </w:pPr>
      <w:r w:rsidRPr="003C540B">
        <w:rPr>
          <w:rFonts w:ascii="Gill Sans MT" w:hAnsi="Gill Sans MT"/>
          <w:i/>
          <w:iCs/>
          <w:sz w:val="24"/>
          <w:szCs w:val="24"/>
        </w:rPr>
        <w:t>Indeed, this may well be an outcome supported by the closure however it is offset as a benefit by the lessening of the patient experience and more difficult access</w:t>
      </w:r>
      <w:r w:rsidR="00FD637F">
        <w:rPr>
          <w:rFonts w:ascii="Gill Sans MT" w:hAnsi="Gill Sans MT"/>
          <w:i/>
          <w:iCs/>
          <w:sz w:val="24"/>
          <w:szCs w:val="24"/>
        </w:rPr>
        <w:t xml:space="preserve"> for </w:t>
      </w:r>
      <w:r w:rsidR="00FD637F">
        <w:rPr>
          <w:rFonts w:ascii="Gill Sans MT" w:hAnsi="Gill Sans MT"/>
          <w:i/>
          <w:iCs/>
          <w:sz w:val="24"/>
          <w:szCs w:val="24"/>
        </w:rPr>
        <w:t>those living in Evington Village or the surrounding areas.</w:t>
      </w:r>
    </w:p>
    <w:p w14:paraId="500F10DA" w14:textId="72CA784A" w:rsidR="00786C2D" w:rsidRPr="003C540B" w:rsidRDefault="00786C2D" w:rsidP="00B62820">
      <w:pPr>
        <w:pStyle w:val="ListParagraph"/>
        <w:numPr>
          <w:ilvl w:val="0"/>
          <w:numId w:val="1"/>
        </w:numPr>
        <w:ind w:left="709"/>
        <w:jc w:val="both"/>
        <w:rPr>
          <w:rFonts w:ascii="Gill Sans MT" w:hAnsi="Gill Sans MT"/>
          <w:sz w:val="24"/>
          <w:szCs w:val="24"/>
        </w:rPr>
      </w:pPr>
      <w:r w:rsidRPr="003C540B">
        <w:rPr>
          <w:rFonts w:ascii="Gill Sans MT" w:hAnsi="Gill Sans MT"/>
          <w:sz w:val="24"/>
          <w:szCs w:val="24"/>
        </w:rPr>
        <w:t xml:space="preserve">Social and economic development: Help the NHS support broader social and economic development. </w:t>
      </w:r>
    </w:p>
    <w:p w14:paraId="0818080B" w14:textId="77777777" w:rsidR="007A39EB" w:rsidRDefault="0088327D" w:rsidP="00B62820">
      <w:pPr>
        <w:ind w:left="709"/>
        <w:jc w:val="both"/>
        <w:rPr>
          <w:rFonts w:ascii="Gill Sans MT" w:hAnsi="Gill Sans MT"/>
          <w:i/>
          <w:iCs/>
          <w:sz w:val="24"/>
          <w:szCs w:val="24"/>
        </w:rPr>
      </w:pPr>
      <w:r w:rsidRPr="003C540B">
        <w:rPr>
          <w:rFonts w:ascii="Gill Sans MT" w:hAnsi="Gill Sans MT"/>
          <w:i/>
          <w:iCs/>
          <w:sz w:val="24"/>
          <w:szCs w:val="24"/>
        </w:rPr>
        <w:t xml:space="preserve">It is beyond belief that the ICB </w:t>
      </w:r>
      <w:r w:rsidR="00F24026" w:rsidRPr="003C540B">
        <w:rPr>
          <w:rFonts w:ascii="Gill Sans MT" w:hAnsi="Gill Sans MT"/>
          <w:i/>
          <w:iCs/>
          <w:sz w:val="24"/>
          <w:szCs w:val="24"/>
        </w:rPr>
        <w:t>thinks this closure has any positive impact upon broader social and economic development given it causes hardship and added expense to the patients previously attending the branch surgery. There may well be some ‘spin off’ gains for patients who live closer to St Elizabeth’s Medical Centre</w:t>
      </w:r>
      <w:r w:rsidR="00EB4B55">
        <w:rPr>
          <w:rFonts w:ascii="Gill Sans MT" w:hAnsi="Gill Sans MT"/>
          <w:i/>
          <w:iCs/>
          <w:sz w:val="24"/>
          <w:szCs w:val="24"/>
        </w:rPr>
        <w:t xml:space="preserve"> or </w:t>
      </w:r>
      <w:r w:rsidR="00FF7E29">
        <w:rPr>
          <w:rFonts w:ascii="Gill Sans MT" w:hAnsi="Gill Sans MT"/>
          <w:i/>
          <w:iCs/>
          <w:sz w:val="24"/>
          <w:szCs w:val="24"/>
        </w:rPr>
        <w:t xml:space="preserve">those </w:t>
      </w:r>
      <w:r w:rsidR="00EB4B55">
        <w:rPr>
          <w:rFonts w:ascii="Gill Sans MT" w:hAnsi="Gill Sans MT"/>
          <w:i/>
          <w:iCs/>
          <w:sz w:val="24"/>
          <w:szCs w:val="24"/>
        </w:rPr>
        <w:t xml:space="preserve">who can travel freely </w:t>
      </w:r>
      <w:r w:rsidR="00085FDC">
        <w:rPr>
          <w:rFonts w:ascii="Gill Sans MT" w:hAnsi="Gill Sans MT"/>
          <w:i/>
          <w:iCs/>
          <w:sz w:val="24"/>
          <w:szCs w:val="24"/>
        </w:rPr>
        <w:t>to the Netherhall premises</w:t>
      </w:r>
      <w:r w:rsidR="00F24026" w:rsidRPr="003C540B">
        <w:rPr>
          <w:rFonts w:ascii="Gill Sans MT" w:hAnsi="Gill Sans MT"/>
          <w:i/>
          <w:iCs/>
          <w:sz w:val="24"/>
          <w:szCs w:val="24"/>
        </w:rPr>
        <w:t>, however</w:t>
      </w:r>
      <w:r w:rsidR="00193A82">
        <w:rPr>
          <w:rFonts w:ascii="Gill Sans MT" w:hAnsi="Gill Sans MT"/>
          <w:i/>
          <w:iCs/>
          <w:sz w:val="24"/>
          <w:szCs w:val="24"/>
        </w:rPr>
        <w:t xml:space="preserve"> the main </w:t>
      </w:r>
      <w:r w:rsidR="00B0389B">
        <w:rPr>
          <w:rFonts w:ascii="Gill Sans MT" w:hAnsi="Gill Sans MT"/>
          <w:i/>
          <w:iCs/>
          <w:sz w:val="24"/>
          <w:szCs w:val="24"/>
        </w:rPr>
        <w:t xml:space="preserve">winner is the practice itself which cuts costs and is able to maintain </w:t>
      </w:r>
      <w:r w:rsidR="00ED2E93">
        <w:rPr>
          <w:rFonts w:ascii="Gill Sans MT" w:hAnsi="Gill Sans MT"/>
          <w:i/>
          <w:iCs/>
          <w:sz w:val="24"/>
          <w:szCs w:val="24"/>
        </w:rPr>
        <w:t>its practice list size</w:t>
      </w:r>
      <w:r w:rsidR="00FF7E29">
        <w:rPr>
          <w:rFonts w:ascii="Gill Sans MT" w:hAnsi="Gill Sans MT"/>
          <w:i/>
          <w:iCs/>
          <w:sz w:val="24"/>
          <w:szCs w:val="24"/>
        </w:rPr>
        <w:t xml:space="preserve"> at the same time</w:t>
      </w:r>
      <w:r w:rsidR="00ED2E93">
        <w:rPr>
          <w:rFonts w:ascii="Gill Sans MT" w:hAnsi="Gill Sans MT"/>
          <w:i/>
          <w:iCs/>
          <w:sz w:val="24"/>
          <w:szCs w:val="24"/>
        </w:rPr>
        <w:t>.</w:t>
      </w:r>
      <w:r w:rsidR="00C15752">
        <w:rPr>
          <w:rFonts w:ascii="Gill Sans MT" w:hAnsi="Gill Sans MT"/>
          <w:i/>
          <w:iCs/>
          <w:sz w:val="24"/>
          <w:szCs w:val="24"/>
        </w:rPr>
        <w:t xml:space="preserve"> </w:t>
      </w:r>
    </w:p>
    <w:p w14:paraId="48EC3BA7" w14:textId="32E14B71" w:rsidR="00F24026" w:rsidRPr="003C540B" w:rsidRDefault="00C15752" w:rsidP="00B62820">
      <w:pPr>
        <w:ind w:left="709"/>
        <w:jc w:val="both"/>
        <w:rPr>
          <w:rFonts w:ascii="Gill Sans MT" w:hAnsi="Gill Sans MT"/>
          <w:i/>
          <w:iCs/>
          <w:sz w:val="24"/>
          <w:szCs w:val="24"/>
        </w:rPr>
      </w:pPr>
      <w:r>
        <w:rPr>
          <w:rFonts w:ascii="Gill Sans MT" w:hAnsi="Gill Sans MT"/>
          <w:i/>
          <w:iCs/>
          <w:sz w:val="24"/>
          <w:szCs w:val="24"/>
        </w:rPr>
        <w:t xml:space="preserve">It should also be noted that the closure </w:t>
      </w:r>
      <w:r w:rsidR="00B708DC">
        <w:rPr>
          <w:rFonts w:ascii="Gill Sans MT" w:hAnsi="Gill Sans MT"/>
          <w:i/>
          <w:iCs/>
          <w:sz w:val="24"/>
          <w:szCs w:val="24"/>
        </w:rPr>
        <w:t>has contributed to a fall off in trade for businesses in Main Street Evington</w:t>
      </w:r>
      <w:r w:rsidR="00024496">
        <w:rPr>
          <w:rFonts w:ascii="Gill Sans MT" w:hAnsi="Gill Sans MT"/>
          <w:i/>
          <w:iCs/>
          <w:sz w:val="24"/>
          <w:szCs w:val="24"/>
        </w:rPr>
        <w:t xml:space="preserve"> a fact supported following a recent survey</w:t>
      </w:r>
      <w:r w:rsidR="004743BF">
        <w:rPr>
          <w:rFonts w:ascii="Gill Sans MT" w:hAnsi="Gill Sans MT"/>
          <w:i/>
          <w:iCs/>
          <w:sz w:val="24"/>
          <w:szCs w:val="24"/>
        </w:rPr>
        <w:t>.</w:t>
      </w:r>
    </w:p>
    <w:p w14:paraId="4CCED627" w14:textId="38987E3E" w:rsidR="00786C2D" w:rsidRPr="003C540B" w:rsidRDefault="00786C2D" w:rsidP="00B62820">
      <w:pPr>
        <w:pStyle w:val="ListParagraph"/>
        <w:numPr>
          <w:ilvl w:val="0"/>
          <w:numId w:val="1"/>
        </w:numPr>
        <w:ind w:left="709"/>
        <w:jc w:val="both"/>
        <w:rPr>
          <w:rFonts w:ascii="Gill Sans MT" w:hAnsi="Gill Sans MT"/>
          <w:sz w:val="24"/>
          <w:szCs w:val="24"/>
        </w:rPr>
      </w:pPr>
      <w:r w:rsidRPr="003C540B">
        <w:rPr>
          <w:rFonts w:ascii="Gill Sans MT" w:hAnsi="Gill Sans MT"/>
          <w:sz w:val="24"/>
          <w:szCs w:val="24"/>
        </w:rPr>
        <w:t>NHS Constitution</w:t>
      </w:r>
      <w:r w:rsidR="0088327D" w:rsidRPr="003C540B">
        <w:rPr>
          <w:rFonts w:ascii="Gill Sans MT" w:hAnsi="Gill Sans MT"/>
          <w:sz w:val="24"/>
          <w:szCs w:val="24"/>
        </w:rPr>
        <w:t>:</w:t>
      </w:r>
      <w:r w:rsidRPr="003C540B">
        <w:rPr>
          <w:rFonts w:ascii="Gill Sans MT" w:hAnsi="Gill Sans MT"/>
          <w:sz w:val="24"/>
          <w:szCs w:val="24"/>
        </w:rPr>
        <w:t xml:space="preserve"> Deliver NHS Constitutional and legal requirements.</w:t>
      </w:r>
    </w:p>
    <w:p w14:paraId="1248A26D" w14:textId="399D8FED" w:rsidR="00F24026" w:rsidRPr="003C540B" w:rsidRDefault="00F24026" w:rsidP="00B62820">
      <w:pPr>
        <w:ind w:left="709"/>
        <w:jc w:val="both"/>
        <w:rPr>
          <w:rFonts w:ascii="Gill Sans MT" w:hAnsi="Gill Sans MT"/>
          <w:i/>
          <w:iCs/>
          <w:sz w:val="24"/>
          <w:szCs w:val="24"/>
        </w:rPr>
      </w:pPr>
      <w:r w:rsidRPr="003C540B">
        <w:rPr>
          <w:rFonts w:ascii="Gill Sans MT" w:hAnsi="Gill Sans MT"/>
          <w:i/>
          <w:iCs/>
          <w:sz w:val="24"/>
          <w:szCs w:val="24"/>
        </w:rPr>
        <w:lastRenderedPageBreak/>
        <w:t>Given that the process of the closure breaches several aspects of the legal requirements for consultations, The Gunning Principles, this is unsustainable.</w:t>
      </w:r>
    </w:p>
    <w:p w14:paraId="6B5727A8" w14:textId="67DDEA47" w:rsidR="00F24026" w:rsidRPr="003C540B" w:rsidRDefault="00F24026" w:rsidP="00B62820">
      <w:pPr>
        <w:jc w:val="both"/>
        <w:rPr>
          <w:rFonts w:ascii="Gill Sans MT" w:hAnsi="Gill Sans MT"/>
          <w:sz w:val="24"/>
          <w:szCs w:val="24"/>
        </w:rPr>
      </w:pPr>
      <w:r w:rsidRPr="003C540B">
        <w:rPr>
          <w:rFonts w:ascii="Gill Sans MT" w:hAnsi="Gill Sans MT"/>
          <w:sz w:val="24"/>
          <w:szCs w:val="24"/>
        </w:rPr>
        <w:t>The report records ‘no conflicts of interest’. This is interesting as the ICB is the body with statutory responsibility for commissioning GP services and for assuring the delivery of these</w:t>
      </w:r>
      <w:r w:rsidR="00A673F6" w:rsidRPr="003C540B">
        <w:rPr>
          <w:rFonts w:ascii="Gill Sans MT" w:hAnsi="Gill Sans MT"/>
          <w:sz w:val="24"/>
          <w:szCs w:val="24"/>
        </w:rPr>
        <w:t>.</w:t>
      </w:r>
    </w:p>
    <w:p w14:paraId="34E8A9AB" w14:textId="6B645841" w:rsidR="00A673F6" w:rsidRPr="003C540B" w:rsidRDefault="00A673F6" w:rsidP="00B62820">
      <w:pPr>
        <w:jc w:val="both"/>
        <w:rPr>
          <w:rFonts w:ascii="Gill Sans MT" w:hAnsi="Gill Sans MT"/>
          <w:sz w:val="24"/>
          <w:szCs w:val="24"/>
        </w:rPr>
      </w:pPr>
      <w:r w:rsidRPr="003C540B">
        <w:rPr>
          <w:rFonts w:ascii="Gill Sans MT" w:hAnsi="Gill Sans MT"/>
          <w:sz w:val="24"/>
          <w:szCs w:val="24"/>
        </w:rPr>
        <w:t>In identifying implications of the report, it is stated that it is not applicable that the report provide assurance against a strategic risk(s) e.g. risk aligned to the Board Assurance Framework, risk register etc? This is interesting given the level of dissatisfaction with this action within the community and a judicial review would have been sought if it was a financially viable option</w:t>
      </w:r>
      <w:r w:rsidR="001D4559">
        <w:rPr>
          <w:rFonts w:ascii="Gill Sans MT" w:hAnsi="Gill Sans MT"/>
          <w:sz w:val="24"/>
          <w:szCs w:val="24"/>
        </w:rPr>
        <w:t xml:space="preserve"> </w:t>
      </w:r>
      <w:r w:rsidR="00A5179D">
        <w:rPr>
          <w:rFonts w:ascii="Gill Sans MT" w:hAnsi="Gill Sans MT"/>
          <w:sz w:val="24"/>
          <w:szCs w:val="24"/>
        </w:rPr>
        <w:t xml:space="preserve">open </w:t>
      </w:r>
      <w:r w:rsidR="001D4559">
        <w:rPr>
          <w:rFonts w:ascii="Gill Sans MT" w:hAnsi="Gill Sans MT"/>
          <w:sz w:val="24"/>
          <w:szCs w:val="24"/>
        </w:rPr>
        <w:t xml:space="preserve">to the </w:t>
      </w:r>
      <w:r w:rsidR="00A5179D">
        <w:rPr>
          <w:rFonts w:ascii="Gill Sans MT" w:hAnsi="Gill Sans MT"/>
          <w:sz w:val="24"/>
          <w:szCs w:val="24"/>
        </w:rPr>
        <w:t>general population.</w:t>
      </w:r>
    </w:p>
    <w:p w14:paraId="0B37502D" w14:textId="7E2807F7" w:rsidR="00A673F6" w:rsidRPr="003C540B" w:rsidRDefault="00A673F6" w:rsidP="00B62820">
      <w:pPr>
        <w:jc w:val="both"/>
        <w:rPr>
          <w:rFonts w:ascii="Gill Sans MT" w:hAnsi="Gill Sans MT"/>
          <w:sz w:val="24"/>
          <w:szCs w:val="24"/>
        </w:rPr>
      </w:pPr>
      <w:r w:rsidRPr="003C540B">
        <w:rPr>
          <w:rFonts w:ascii="Gill Sans MT" w:hAnsi="Gill Sans MT"/>
          <w:sz w:val="24"/>
          <w:szCs w:val="24"/>
        </w:rPr>
        <w:t xml:space="preserve">The report states there are no quality and patient safety implications highlighted. This </w:t>
      </w:r>
      <w:r w:rsidR="00B62820" w:rsidRPr="003C540B">
        <w:rPr>
          <w:rFonts w:ascii="Gill Sans MT" w:hAnsi="Gill Sans MT"/>
          <w:sz w:val="24"/>
          <w:szCs w:val="24"/>
        </w:rPr>
        <w:t>beggar’s</w:t>
      </w:r>
      <w:r w:rsidRPr="003C540B">
        <w:rPr>
          <w:rFonts w:ascii="Gill Sans MT" w:hAnsi="Gill Sans MT"/>
          <w:sz w:val="24"/>
          <w:szCs w:val="24"/>
        </w:rPr>
        <w:t xml:space="preserve"> belief given the quality of access to GP services has been summarily removed from Evington Village </w:t>
      </w:r>
      <w:r w:rsidR="00144278">
        <w:rPr>
          <w:rFonts w:ascii="Gill Sans MT" w:hAnsi="Gill Sans MT"/>
          <w:sz w:val="24"/>
          <w:szCs w:val="24"/>
        </w:rPr>
        <w:t xml:space="preserve">and surrounding areas, </w:t>
      </w:r>
      <w:r w:rsidRPr="003C540B">
        <w:rPr>
          <w:rFonts w:ascii="Gill Sans MT" w:hAnsi="Gill Sans MT"/>
          <w:sz w:val="24"/>
          <w:szCs w:val="24"/>
        </w:rPr>
        <w:t>and some frail elderly patients have had to adjust after decades (in some cases a lifetime) of local access to GP and nursing services.</w:t>
      </w:r>
      <w:r w:rsidR="00B62820" w:rsidRPr="003C540B">
        <w:rPr>
          <w:rFonts w:ascii="Gill Sans MT" w:hAnsi="Gill Sans MT"/>
          <w:sz w:val="24"/>
          <w:szCs w:val="24"/>
        </w:rPr>
        <w:t xml:space="preserve"> Travelling for these patients is an inherent risk as is the lack of a local surgery.</w:t>
      </w:r>
    </w:p>
    <w:p w14:paraId="0CC9E666" w14:textId="6216DE36" w:rsidR="00F24026" w:rsidRPr="00B62820" w:rsidRDefault="00B62820" w:rsidP="00B62820">
      <w:pPr>
        <w:rPr>
          <w:rFonts w:ascii="Gill Sans MT" w:hAnsi="Gill Sans MT"/>
          <w:b/>
          <w:bCs/>
          <w:sz w:val="24"/>
          <w:szCs w:val="24"/>
        </w:rPr>
      </w:pPr>
      <w:r w:rsidRPr="00B62820">
        <w:rPr>
          <w:rFonts w:ascii="Gill Sans MT" w:hAnsi="Gill Sans MT"/>
          <w:b/>
          <w:bCs/>
          <w:sz w:val="24"/>
          <w:szCs w:val="24"/>
        </w:rPr>
        <w:t>Background</w:t>
      </w:r>
    </w:p>
    <w:p w14:paraId="2B2B8ECB" w14:textId="535791B1" w:rsidR="00B62820" w:rsidRPr="003C540B" w:rsidRDefault="00B62820" w:rsidP="000673CC">
      <w:pPr>
        <w:jc w:val="both"/>
        <w:rPr>
          <w:rFonts w:ascii="Gill Sans MT" w:hAnsi="Gill Sans MT"/>
          <w:sz w:val="24"/>
          <w:szCs w:val="24"/>
        </w:rPr>
      </w:pPr>
      <w:r w:rsidRPr="003C540B">
        <w:rPr>
          <w:rFonts w:ascii="Gill Sans MT" w:hAnsi="Gill Sans MT"/>
          <w:sz w:val="24"/>
          <w:szCs w:val="24"/>
        </w:rPr>
        <w:t xml:space="preserve">The drive to close the GP branch surgery at 10 The Common Evington, Leicester was founded upon landlord’s decision to sell the property and bolstered by a contention that the premises were not fit for purpose. As these were both questionable grounds for the action it invalidates the whole process. </w:t>
      </w:r>
    </w:p>
    <w:p w14:paraId="181FD0B7" w14:textId="1596D15B" w:rsidR="00B62820" w:rsidRPr="00B62820" w:rsidRDefault="00B62820" w:rsidP="00B62820">
      <w:pPr>
        <w:rPr>
          <w:rFonts w:ascii="Gill Sans MT" w:hAnsi="Gill Sans MT"/>
          <w:b/>
          <w:bCs/>
          <w:sz w:val="24"/>
          <w:szCs w:val="24"/>
        </w:rPr>
      </w:pPr>
      <w:r w:rsidRPr="00B62820">
        <w:rPr>
          <w:rFonts w:ascii="Gill Sans MT" w:hAnsi="Gill Sans MT"/>
          <w:b/>
          <w:bCs/>
          <w:sz w:val="24"/>
          <w:szCs w:val="24"/>
        </w:rPr>
        <w:t>Approach</w:t>
      </w:r>
    </w:p>
    <w:p w14:paraId="2E2F4CF5" w14:textId="56BD2F8F" w:rsidR="00954DD5" w:rsidRDefault="00954DD5" w:rsidP="000673CC">
      <w:pPr>
        <w:jc w:val="both"/>
        <w:rPr>
          <w:rFonts w:ascii="Gill Sans MT" w:hAnsi="Gill Sans MT"/>
          <w:sz w:val="24"/>
          <w:szCs w:val="24"/>
        </w:rPr>
      </w:pPr>
      <w:r>
        <w:rPr>
          <w:rFonts w:ascii="Gill Sans MT" w:hAnsi="Gill Sans MT"/>
          <w:sz w:val="24"/>
          <w:szCs w:val="24"/>
        </w:rPr>
        <w:t xml:space="preserve">It is indeed revealing that most concerns received by the ICB formed no part of the review and none of the arguments </w:t>
      </w:r>
      <w:r w:rsidR="003C540B">
        <w:rPr>
          <w:rFonts w:ascii="Gill Sans MT" w:hAnsi="Gill Sans MT"/>
          <w:sz w:val="24"/>
          <w:szCs w:val="24"/>
        </w:rPr>
        <w:t xml:space="preserve">against closure </w:t>
      </w:r>
      <w:r>
        <w:rPr>
          <w:rFonts w:ascii="Gill Sans MT" w:hAnsi="Gill Sans MT"/>
          <w:sz w:val="24"/>
          <w:szCs w:val="24"/>
        </w:rPr>
        <w:t>put forward</w:t>
      </w:r>
      <w:r w:rsidR="003C540B">
        <w:rPr>
          <w:rFonts w:ascii="Gill Sans MT" w:hAnsi="Gill Sans MT"/>
          <w:sz w:val="24"/>
          <w:szCs w:val="24"/>
        </w:rPr>
        <w:t>,</w:t>
      </w:r>
      <w:r>
        <w:rPr>
          <w:rFonts w:ascii="Gill Sans MT" w:hAnsi="Gill Sans MT"/>
          <w:sz w:val="24"/>
          <w:szCs w:val="24"/>
        </w:rPr>
        <w:t xml:space="preserve"> considered other than in passing.</w:t>
      </w:r>
      <w:r w:rsidR="003C540B">
        <w:rPr>
          <w:rFonts w:ascii="Gill Sans MT" w:hAnsi="Gill Sans MT"/>
          <w:sz w:val="24"/>
          <w:szCs w:val="24"/>
        </w:rPr>
        <w:t xml:space="preserve"> The landlord of 10 The Common, Leicester</w:t>
      </w:r>
      <w:r w:rsidR="0041598E">
        <w:rPr>
          <w:rFonts w:ascii="Gill Sans MT" w:hAnsi="Gill Sans MT"/>
          <w:sz w:val="24"/>
          <w:szCs w:val="24"/>
        </w:rPr>
        <w:t>,</w:t>
      </w:r>
      <w:r w:rsidR="003C540B">
        <w:rPr>
          <w:rFonts w:ascii="Gill Sans MT" w:hAnsi="Gill Sans MT"/>
          <w:sz w:val="24"/>
          <w:szCs w:val="24"/>
        </w:rPr>
        <w:t xml:space="preserve"> Dr Wood, nor his representative were part of the review and were not involved in the original consultation process to confirm their intentions.</w:t>
      </w:r>
    </w:p>
    <w:p w14:paraId="61D64ED0" w14:textId="0BEEEBDA" w:rsidR="00954DD5" w:rsidRDefault="00954DD5" w:rsidP="00B62820">
      <w:pPr>
        <w:rPr>
          <w:rFonts w:ascii="Gill Sans MT" w:hAnsi="Gill Sans MT"/>
          <w:b/>
          <w:bCs/>
          <w:sz w:val="24"/>
          <w:szCs w:val="24"/>
        </w:rPr>
      </w:pPr>
      <w:r w:rsidRPr="00954DD5">
        <w:rPr>
          <w:rFonts w:ascii="Gill Sans MT" w:hAnsi="Gill Sans MT"/>
          <w:b/>
          <w:bCs/>
          <w:sz w:val="24"/>
          <w:szCs w:val="24"/>
        </w:rPr>
        <w:t>Findings</w:t>
      </w:r>
    </w:p>
    <w:p w14:paraId="4E29BB77" w14:textId="22496E75" w:rsidR="00954DD5" w:rsidRDefault="003C540B" w:rsidP="000673CC">
      <w:pPr>
        <w:jc w:val="both"/>
        <w:rPr>
          <w:rFonts w:ascii="Gill Sans MT" w:hAnsi="Gill Sans MT"/>
          <w:sz w:val="24"/>
          <w:szCs w:val="24"/>
        </w:rPr>
      </w:pPr>
      <w:r w:rsidRPr="003C540B">
        <w:rPr>
          <w:rFonts w:ascii="Gill Sans MT" w:hAnsi="Gill Sans MT"/>
          <w:sz w:val="24"/>
          <w:szCs w:val="24"/>
        </w:rPr>
        <w:t>Given the above flaws in process, it is difficult to see how the findings can be sound and indeed there seems to be an element of self-congratulation and embellishment of the facts in support of the outcome the ICB desired</w:t>
      </w:r>
      <w:r>
        <w:rPr>
          <w:rFonts w:ascii="Gill Sans MT" w:hAnsi="Gill Sans MT"/>
          <w:sz w:val="24"/>
          <w:szCs w:val="24"/>
        </w:rPr>
        <w:t>.</w:t>
      </w:r>
    </w:p>
    <w:p w14:paraId="2967F258" w14:textId="0ADDE3BE" w:rsidR="003C540B" w:rsidRDefault="003C540B" w:rsidP="000673CC">
      <w:pPr>
        <w:jc w:val="both"/>
        <w:rPr>
          <w:rFonts w:ascii="Gill Sans MT" w:hAnsi="Gill Sans MT"/>
          <w:sz w:val="24"/>
          <w:szCs w:val="24"/>
        </w:rPr>
      </w:pPr>
      <w:r w:rsidRPr="008772D2">
        <w:rPr>
          <w:rFonts w:ascii="Gill Sans MT" w:hAnsi="Gill Sans MT"/>
          <w:sz w:val="24"/>
          <w:szCs w:val="24"/>
        </w:rPr>
        <w:t xml:space="preserve">Paragraph 12 in the report confirms in the ICB’s own words that the Gunning Principles were indeed breached as the consultation took place and “From the practice’s perspective, </w:t>
      </w:r>
      <w:r w:rsidRPr="008772D2">
        <w:rPr>
          <w:rFonts w:ascii="Gill Sans MT" w:hAnsi="Gill Sans MT"/>
          <w:b/>
          <w:bCs/>
          <w:sz w:val="24"/>
          <w:szCs w:val="24"/>
        </w:rPr>
        <w:t>the decision to close the branch surgery had already been taken</w:t>
      </w:r>
      <w:r w:rsidRPr="008772D2">
        <w:rPr>
          <w:rFonts w:ascii="Gill Sans MT" w:hAnsi="Gill Sans MT"/>
          <w:sz w:val="24"/>
          <w:szCs w:val="24"/>
        </w:rPr>
        <w:t xml:space="preserve"> </w:t>
      </w:r>
      <w:r w:rsidRPr="008772D2">
        <w:rPr>
          <w:rFonts w:ascii="Gill Sans MT" w:hAnsi="Gill Sans MT"/>
          <w:b/>
          <w:bCs/>
          <w:sz w:val="24"/>
          <w:szCs w:val="24"/>
        </w:rPr>
        <w:t>given the GPs retirement and his wish to sell the building. It was felt that the engagement exercise would give patients false hope that the surgery might stay open</w:t>
      </w:r>
      <w:r w:rsidRPr="008772D2">
        <w:rPr>
          <w:rFonts w:ascii="Gill Sans MT" w:hAnsi="Gill Sans MT"/>
          <w:sz w:val="24"/>
          <w:szCs w:val="24"/>
        </w:rPr>
        <w:t xml:space="preserve">.” This suggests that process was undertaken </w:t>
      </w:r>
      <w:r w:rsidR="008772D2" w:rsidRPr="008772D2">
        <w:rPr>
          <w:rFonts w:ascii="Gill Sans MT" w:hAnsi="Gill Sans MT"/>
          <w:sz w:val="24"/>
          <w:szCs w:val="24"/>
        </w:rPr>
        <w:t>merely to go through the motions.</w:t>
      </w:r>
    </w:p>
    <w:p w14:paraId="605504BC" w14:textId="6FD0F1EE" w:rsidR="00FE4537" w:rsidRPr="00270A74" w:rsidRDefault="009B4DBC" w:rsidP="00270A74">
      <w:pPr>
        <w:jc w:val="both"/>
        <w:rPr>
          <w:rFonts w:ascii="Gill Sans MT" w:hAnsi="Gill Sans MT"/>
          <w:sz w:val="24"/>
          <w:szCs w:val="24"/>
        </w:rPr>
      </w:pPr>
      <w:r w:rsidRPr="00270A74">
        <w:rPr>
          <w:rFonts w:ascii="Gill Sans MT" w:hAnsi="Gill Sans MT"/>
          <w:sz w:val="24"/>
          <w:szCs w:val="24"/>
        </w:rPr>
        <w:t xml:space="preserve">Paragraph 13 </w:t>
      </w:r>
      <w:r w:rsidR="00B20B4C" w:rsidRPr="00270A74">
        <w:rPr>
          <w:rFonts w:ascii="Gill Sans MT" w:hAnsi="Gill Sans MT"/>
          <w:sz w:val="24"/>
          <w:szCs w:val="24"/>
        </w:rPr>
        <w:t>states that</w:t>
      </w:r>
      <w:r w:rsidR="00F147B4" w:rsidRPr="00270A74">
        <w:rPr>
          <w:rFonts w:ascii="Gill Sans MT" w:hAnsi="Gill Sans MT"/>
          <w:sz w:val="24"/>
          <w:szCs w:val="24"/>
        </w:rPr>
        <w:t>:</w:t>
      </w:r>
    </w:p>
    <w:p w14:paraId="7627E470" w14:textId="18533F0F" w:rsidR="00F147B4" w:rsidRPr="00270A74" w:rsidRDefault="00B20B4C" w:rsidP="00270A74">
      <w:pPr>
        <w:jc w:val="both"/>
        <w:rPr>
          <w:rFonts w:ascii="Gill Sans MT" w:hAnsi="Gill Sans MT"/>
          <w:sz w:val="24"/>
          <w:szCs w:val="24"/>
        </w:rPr>
      </w:pPr>
      <w:r w:rsidRPr="00270A74">
        <w:rPr>
          <w:rFonts w:ascii="Gill Sans MT" w:hAnsi="Gill Sans MT"/>
          <w:sz w:val="24"/>
          <w:szCs w:val="24"/>
        </w:rPr>
        <w:t>“</w:t>
      </w:r>
      <w:r w:rsidR="002531A1" w:rsidRPr="00270A74">
        <w:rPr>
          <w:rFonts w:ascii="Gill Sans MT" w:hAnsi="Gill Sans MT"/>
          <w:sz w:val="24"/>
          <w:szCs w:val="24"/>
        </w:rPr>
        <w:t>…….</w:t>
      </w:r>
      <w:r w:rsidR="009B4DBC" w:rsidRPr="00270A74">
        <w:rPr>
          <w:rFonts w:ascii="Gill Sans MT" w:hAnsi="Gill Sans MT"/>
          <w:sz w:val="24"/>
          <w:szCs w:val="24"/>
        </w:rPr>
        <w:t>the practice was concerned that only 84 responses to the questionnaire were receive which equates to 1.1% of the practice population and 7% of the Evington registered population.</w:t>
      </w:r>
      <w:r w:rsidR="00F147B4" w:rsidRPr="00270A74">
        <w:rPr>
          <w:rFonts w:ascii="Gill Sans MT" w:hAnsi="Gill Sans MT"/>
          <w:sz w:val="24"/>
          <w:szCs w:val="24"/>
        </w:rPr>
        <w:t>”</w:t>
      </w:r>
    </w:p>
    <w:p w14:paraId="45A3BA9C" w14:textId="317BDE0C" w:rsidR="008350E3" w:rsidRPr="00741FA0" w:rsidRDefault="00B20B4C" w:rsidP="00270A74">
      <w:pPr>
        <w:spacing w:after="0" w:line="240" w:lineRule="auto"/>
        <w:jc w:val="both"/>
        <w:rPr>
          <w:rFonts w:ascii="Gill Sans MT" w:eastAsia="Times New Roman" w:hAnsi="Gill Sans MT" w:cs="Arial"/>
          <w:sz w:val="24"/>
          <w:szCs w:val="24"/>
          <w:lang w:eastAsia="en-GB"/>
        </w:rPr>
      </w:pPr>
      <w:r w:rsidRPr="00B65803">
        <w:rPr>
          <w:rFonts w:ascii="Gill Sans MT" w:hAnsi="Gill Sans MT"/>
          <w:sz w:val="24"/>
          <w:szCs w:val="24"/>
        </w:rPr>
        <w:t xml:space="preserve">This clearly shows they had no faith in the veracity of the </w:t>
      </w:r>
      <w:r w:rsidR="00F147B4" w:rsidRPr="00B65803">
        <w:rPr>
          <w:rFonts w:ascii="Gill Sans MT" w:hAnsi="Gill Sans MT"/>
          <w:sz w:val="24"/>
          <w:szCs w:val="24"/>
        </w:rPr>
        <w:t xml:space="preserve">consultation they were engaged in. In </w:t>
      </w:r>
      <w:r w:rsidR="00950FEF" w:rsidRPr="00B65803">
        <w:rPr>
          <w:rFonts w:ascii="Gill Sans MT" w:hAnsi="Gill Sans MT"/>
          <w:sz w:val="24"/>
          <w:szCs w:val="24"/>
        </w:rPr>
        <w:t>addition,</w:t>
      </w:r>
      <w:r w:rsidR="00F147B4" w:rsidRPr="00B65803">
        <w:rPr>
          <w:rFonts w:ascii="Gill Sans MT" w:hAnsi="Gill Sans MT"/>
          <w:sz w:val="24"/>
          <w:szCs w:val="24"/>
        </w:rPr>
        <w:t xml:space="preserve"> the majority of the respondents opposed the closure, a fact glossed over in the </w:t>
      </w:r>
      <w:r w:rsidR="002874EA" w:rsidRPr="00B65803">
        <w:rPr>
          <w:rFonts w:ascii="Gill Sans MT" w:hAnsi="Gill Sans MT"/>
          <w:sz w:val="24"/>
          <w:szCs w:val="24"/>
        </w:rPr>
        <w:t>consultation report and in this review report.</w:t>
      </w:r>
      <w:r w:rsidR="008350E3" w:rsidRPr="00B65803">
        <w:rPr>
          <w:rFonts w:ascii="Gill Sans MT" w:hAnsi="Gill Sans MT"/>
          <w:sz w:val="24"/>
          <w:szCs w:val="24"/>
        </w:rPr>
        <w:t xml:space="preserve"> </w:t>
      </w:r>
      <w:r w:rsidR="008350E3" w:rsidRPr="00B65803">
        <w:rPr>
          <w:rFonts w:ascii="Gill Sans MT" w:eastAsia="Times New Roman" w:hAnsi="Gill Sans MT" w:cs="Arial"/>
          <w:sz w:val="24"/>
          <w:szCs w:val="24"/>
          <w:lang w:eastAsia="en-GB"/>
        </w:rPr>
        <w:t xml:space="preserve">The paucity of responses to the consultation, </w:t>
      </w:r>
      <w:r w:rsidR="008350E3" w:rsidRPr="00741FA0">
        <w:rPr>
          <w:rFonts w:ascii="Gill Sans MT" w:eastAsia="Times New Roman" w:hAnsi="Gill Sans MT" w:cs="Arial"/>
          <w:sz w:val="24"/>
          <w:szCs w:val="24"/>
          <w:lang w:eastAsia="en-GB"/>
        </w:rPr>
        <w:t xml:space="preserve">84 in total, is testament to the failure of the consultation process itself. In addition, from those </w:t>
      </w:r>
      <w:r w:rsidR="008350E3" w:rsidRPr="00741FA0">
        <w:rPr>
          <w:rFonts w:ascii="Gill Sans MT" w:eastAsia="Times New Roman" w:hAnsi="Gill Sans MT" w:cs="Arial"/>
          <w:sz w:val="24"/>
          <w:szCs w:val="24"/>
          <w:lang w:eastAsia="en-GB"/>
        </w:rPr>
        <w:lastRenderedPageBreak/>
        <w:t>84 responses 51respondents (61%) opposed the closure and only 25% agreed with it.</w:t>
      </w:r>
      <w:r w:rsidR="004C43D3" w:rsidRPr="00741FA0">
        <w:rPr>
          <w:rFonts w:ascii="Gill Sans MT" w:eastAsia="Times New Roman" w:hAnsi="Gill Sans MT" w:cs="Arial"/>
          <w:sz w:val="24"/>
          <w:szCs w:val="24"/>
          <w:lang w:eastAsia="en-GB"/>
        </w:rPr>
        <w:t xml:space="preserve"> </w:t>
      </w:r>
      <w:r w:rsidR="002F765C" w:rsidRPr="00741FA0">
        <w:rPr>
          <w:rFonts w:ascii="Gill Sans MT" w:eastAsia="Times New Roman" w:hAnsi="Gill Sans MT" w:cs="Arial"/>
          <w:sz w:val="24"/>
          <w:szCs w:val="24"/>
          <w:lang w:eastAsia="en-GB"/>
        </w:rPr>
        <w:t xml:space="preserve">This statistic </w:t>
      </w:r>
      <w:r w:rsidR="00816E6B" w:rsidRPr="00741FA0">
        <w:rPr>
          <w:rFonts w:ascii="Gill Sans MT" w:eastAsia="Times New Roman" w:hAnsi="Gill Sans MT" w:cs="Arial"/>
          <w:sz w:val="24"/>
          <w:szCs w:val="24"/>
          <w:lang w:eastAsia="en-GB"/>
        </w:rPr>
        <w:t xml:space="preserve">and the response at the two </w:t>
      </w:r>
      <w:r w:rsidR="00CA519F" w:rsidRPr="00741FA0">
        <w:rPr>
          <w:rFonts w:ascii="Gill Sans MT" w:eastAsia="Times New Roman" w:hAnsi="Gill Sans MT" w:cs="Arial"/>
          <w:sz w:val="24"/>
          <w:szCs w:val="24"/>
          <w:lang w:eastAsia="en-GB"/>
        </w:rPr>
        <w:t xml:space="preserve">stakeholder </w:t>
      </w:r>
      <w:r w:rsidR="00CA519F" w:rsidRPr="00741FA0">
        <w:rPr>
          <w:rFonts w:ascii="Gill Sans MT" w:hAnsi="Gill Sans MT"/>
          <w:sz w:val="24"/>
          <w:szCs w:val="24"/>
        </w:rPr>
        <w:t>engagement events (one organised by Councillor Zuffar Haq)</w:t>
      </w:r>
      <w:r w:rsidR="00816E6B" w:rsidRPr="00741FA0">
        <w:rPr>
          <w:rFonts w:ascii="Gill Sans MT" w:eastAsia="Times New Roman" w:hAnsi="Gill Sans MT" w:cs="Arial"/>
          <w:sz w:val="24"/>
          <w:szCs w:val="24"/>
          <w:lang w:eastAsia="en-GB"/>
        </w:rPr>
        <w:t xml:space="preserve"> </w:t>
      </w:r>
      <w:r w:rsidR="002F765C" w:rsidRPr="00741FA0">
        <w:rPr>
          <w:rFonts w:ascii="Gill Sans MT" w:eastAsia="Times New Roman" w:hAnsi="Gill Sans MT" w:cs="Arial"/>
          <w:sz w:val="24"/>
          <w:szCs w:val="24"/>
          <w:lang w:eastAsia="en-GB"/>
        </w:rPr>
        <w:t>w</w:t>
      </w:r>
      <w:r w:rsidR="00816E6B" w:rsidRPr="00741FA0">
        <w:rPr>
          <w:rFonts w:ascii="Gill Sans MT" w:eastAsia="Times New Roman" w:hAnsi="Gill Sans MT" w:cs="Arial"/>
          <w:sz w:val="24"/>
          <w:szCs w:val="24"/>
          <w:lang w:eastAsia="en-GB"/>
        </w:rPr>
        <w:t>ere</w:t>
      </w:r>
      <w:r w:rsidR="002F765C" w:rsidRPr="00741FA0">
        <w:rPr>
          <w:rFonts w:ascii="Gill Sans MT" w:eastAsia="Times New Roman" w:hAnsi="Gill Sans MT" w:cs="Arial"/>
          <w:sz w:val="24"/>
          <w:szCs w:val="24"/>
          <w:lang w:eastAsia="en-GB"/>
        </w:rPr>
        <w:t xml:space="preserve"> ignored and seemingly fl</w:t>
      </w:r>
      <w:r w:rsidR="00D1703D">
        <w:rPr>
          <w:rFonts w:ascii="Gill Sans MT" w:eastAsia="Times New Roman" w:hAnsi="Gill Sans MT" w:cs="Arial"/>
          <w:sz w:val="24"/>
          <w:szCs w:val="24"/>
          <w:lang w:eastAsia="en-GB"/>
        </w:rPr>
        <w:t>y</w:t>
      </w:r>
      <w:r w:rsidR="002F765C" w:rsidRPr="00741FA0">
        <w:rPr>
          <w:rFonts w:ascii="Gill Sans MT" w:eastAsia="Times New Roman" w:hAnsi="Gill Sans MT" w:cs="Arial"/>
          <w:sz w:val="24"/>
          <w:szCs w:val="24"/>
          <w:lang w:eastAsia="en-GB"/>
        </w:rPr>
        <w:t xml:space="preserve"> in the face of </w:t>
      </w:r>
      <w:r w:rsidR="00FA39FE" w:rsidRPr="00741FA0">
        <w:rPr>
          <w:rFonts w:ascii="Gill Sans MT" w:eastAsia="Times New Roman" w:hAnsi="Gill Sans MT" w:cs="Arial"/>
          <w:sz w:val="24"/>
          <w:szCs w:val="24"/>
          <w:lang w:eastAsia="en-GB"/>
        </w:rPr>
        <w:t>the Gunning Principles.</w:t>
      </w:r>
    </w:p>
    <w:p w14:paraId="4C04D0AE" w14:textId="77777777" w:rsidR="00270A74" w:rsidRPr="00270A74" w:rsidRDefault="00270A74" w:rsidP="00270A74">
      <w:pPr>
        <w:spacing w:after="0" w:line="240" w:lineRule="auto"/>
        <w:jc w:val="both"/>
        <w:rPr>
          <w:rFonts w:ascii="Gill Sans MT" w:eastAsia="Times New Roman" w:hAnsi="Gill Sans MT" w:cs="Arial"/>
          <w:i/>
          <w:iCs/>
          <w:sz w:val="24"/>
          <w:szCs w:val="24"/>
          <w:lang w:eastAsia="en-GB"/>
        </w:rPr>
      </w:pPr>
    </w:p>
    <w:p w14:paraId="391DD408" w14:textId="275E0BD0" w:rsidR="00954DD5" w:rsidRPr="00D31067" w:rsidRDefault="00B65803" w:rsidP="00D31067">
      <w:pPr>
        <w:jc w:val="both"/>
        <w:rPr>
          <w:rFonts w:ascii="Gill Sans MT" w:hAnsi="Gill Sans MT"/>
          <w:sz w:val="24"/>
          <w:szCs w:val="24"/>
        </w:rPr>
      </w:pPr>
      <w:r w:rsidRPr="00D31067">
        <w:rPr>
          <w:rFonts w:ascii="Gill Sans MT" w:hAnsi="Gill Sans MT"/>
          <w:sz w:val="24"/>
          <w:szCs w:val="24"/>
        </w:rPr>
        <w:t>Paragraph 15 states</w:t>
      </w:r>
      <w:r w:rsidR="0066375C" w:rsidRPr="00D31067">
        <w:rPr>
          <w:rFonts w:ascii="Gill Sans MT" w:hAnsi="Gill Sans MT"/>
          <w:sz w:val="24"/>
          <w:szCs w:val="24"/>
        </w:rPr>
        <w:t xml:space="preserve"> unequivocally that “</w:t>
      </w:r>
      <w:r w:rsidRPr="00D31067">
        <w:rPr>
          <w:rFonts w:ascii="Gill Sans MT" w:hAnsi="Gill Sans MT"/>
          <w:sz w:val="24"/>
          <w:szCs w:val="24"/>
        </w:rPr>
        <w:t>The practice has not received any patient complaints following the closure. (Two complaints were received by the ICB).</w:t>
      </w:r>
      <w:r w:rsidR="0066375C" w:rsidRPr="00D31067">
        <w:rPr>
          <w:rFonts w:ascii="Gill Sans MT" w:hAnsi="Gill Sans MT"/>
          <w:sz w:val="24"/>
          <w:szCs w:val="24"/>
        </w:rPr>
        <w:t xml:space="preserve">” This statement is </w:t>
      </w:r>
      <w:r w:rsidR="008848F1" w:rsidRPr="00D31067">
        <w:rPr>
          <w:rFonts w:ascii="Gill Sans MT" w:hAnsi="Gill Sans MT"/>
          <w:sz w:val="24"/>
          <w:szCs w:val="24"/>
        </w:rPr>
        <w:t xml:space="preserve">untrue as I wrote </w:t>
      </w:r>
      <w:r w:rsidR="00B83EC9">
        <w:rPr>
          <w:rFonts w:ascii="Gill Sans MT" w:hAnsi="Gill Sans MT"/>
          <w:sz w:val="24"/>
          <w:szCs w:val="24"/>
        </w:rPr>
        <w:t xml:space="preserve">a formal complaint </w:t>
      </w:r>
      <w:r w:rsidR="008848F1" w:rsidRPr="00D31067">
        <w:rPr>
          <w:rFonts w:ascii="Gill Sans MT" w:hAnsi="Gill Sans MT"/>
          <w:sz w:val="24"/>
          <w:szCs w:val="24"/>
        </w:rPr>
        <w:t xml:space="preserve">to the practice </w:t>
      </w:r>
      <w:r w:rsidR="006B347B" w:rsidRPr="00D31067">
        <w:rPr>
          <w:rFonts w:ascii="Gill Sans MT" w:hAnsi="Gill Sans MT"/>
          <w:sz w:val="24"/>
          <w:szCs w:val="24"/>
        </w:rPr>
        <w:t>in a letter dated 22</w:t>
      </w:r>
      <w:r w:rsidR="006B347B" w:rsidRPr="00D31067">
        <w:rPr>
          <w:rFonts w:ascii="Gill Sans MT" w:hAnsi="Gill Sans MT"/>
          <w:sz w:val="24"/>
          <w:szCs w:val="24"/>
          <w:vertAlign w:val="superscript"/>
        </w:rPr>
        <w:t>nd</w:t>
      </w:r>
      <w:r w:rsidR="006B347B" w:rsidRPr="00D31067">
        <w:rPr>
          <w:rFonts w:ascii="Gill Sans MT" w:hAnsi="Gill Sans MT"/>
          <w:sz w:val="24"/>
          <w:szCs w:val="24"/>
        </w:rPr>
        <w:t xml:space="preserve"> October 2024 (copy attached). </w:t>
      </w:r>
    </w:p>
    <w:p w14:paraId="20CA2219" w14:textId="7C32C58B" w:rsidR="00936B47" w:rsidRPr="00BA5AEE" w:rsidRDefault="00936B47" w:rsidP="00BA5AEE">
      <w:pPr>
        <w:jc w:val="both"/>
        <w:rPr>
          <w:rFonts w:ascii="Gill Sans MT" w:hAnsi="Gill Sans MT"/>
          <w:sz w:val="24"/>
          <w:szCs w:val="24"/>
        </w:rPr>
      </w:pPr>
      <w:r w:rsidRPr="00BA5AEE">
        <w:rPr>
          <w:rFonts w:ascii="Gill Sans MT" w:hAnsi="Gill Sans MT"/>
          <w:sz w:val="24"/>
          <w:szCs w:val="24"/>
        </w:rPr>
        <w:t xml:space="preserve">Paragraph 17 contains some </w:t>
      </w:r>
      <w:r w:rsidR="006F7A2A" w:rsidRPr="00BA5AEE">
        <w:rPr>
          <w:rFonts w:ascii="Gill Sans MT" w:hAnsi="Gill Sans MT"/>
          <w:sz w:val="24"/>
          <w:szCs w:val="24"/>
        </w:rPr>
        <w:t>findings based on the terms of reference for the review</w:t>
      </w:r>
      <w:r w:rsidR="00975C03">
        <w:rPr>
          <w:rFonts w:ascii="Gill Sans MT" w:hAnsi="Gill Sans MT"/>
          <w:sz w:val="24"/>
          <w:szCs w:val="24"/>
        </w:rPr>
        <w:t xml:space="preserve"> and each of the</w:t>
      </w:r>
      <w:r w:rsidR="006F79F6">
        <w:rPr>
          <w:rFonts w:ascii="Gill Sans MT" w:hAnsi="Gill Sans MT"/>
          <w:sz w:val="24"/>
          <w:szCs w:val="24"/>
        </w:rPr>
        <w:t xml:space="preserve"> relevant ones </w:t>
      </w:r>
      <w:r w:rsidR="002C5FD6">
        <w:rPr>
          <w:rFonts w:ascii="Gill Sans MT" w:hAnsi="Gill Sans MT"/>
          <w:sz w:val="24"/>
          <w:szCs w:val="24"/>
        </w:rPr>
        <w:t xml:space="preserve">are addressed below </w:t>
      </w:r>
      <w:r w:rsidR="00975C03">
        <w:rPr>
          <w:rFonts w:ascii="Gill Sans MT" w:hAnsi="Gill Sans MT"/>
          <w:sz w:val="24"/>
          <w:szCs w:val="24"/>
        </w:rPr>
        <w:t>in detail</w:t>
      </w:r>
      <w:r w:rsidR="00F55226">
        <w:rPr>
          <w:rFonts w:ascii="Gill Sans MT" w:hAnsi="Gill Sans MT"/>
          <w:sz w:val="24"/>
          <w:szCs w:val="24"/>
        </w:rPr>
        <w:t>:</w:t>
      </w:r>
    </w:p>
    <w:p w14:paraId="5BD9ECAF" w14:textId="60513155" w:rsidR="00A85CD8" w:rsidRPr="009B557D" w:rsidRDefault="00A85CD8" w:rsidP="00BA5AEE">
      <w:pPr>
        <w:jc w:val="both"/>
        <w:rPr>
          <w:rFonts w:ascii="Gill Sans MT" w:hAnsi="Gill Sans MT"/>
          <w:i/>
          <w:iCs/>
          <w:sz w:val="24"/>
          <w:szCs w:val="24"/>
        </w:rPr>
      </w:pPr>
      <w:r w:rsidRPr="009B557D">
        <w:rPr>
          <w:rFonts w:ascii="Gill Sans MT" w:hAnsi="Gill Sans MT"/>
          <w:b/>
          <w:bCs/>
          <w:i/>
          <w:iCs/>
          <w:sz w:val="24"/>
          <w:szCs w:val="24"/>
        </w:rPr>
        <w:t>To provide assurance of due diligence on statements made about serving notice on the tenancy of the premises -</w:t>
      </w:r>
      <w:r w:rsidRPr="009B557D">
        <w:rPr>
          <w:rFonts w:ascii="Gill Sans MT" w:hAnsi="Gill Sans MT"/>
          <w:i/>
          <w:iCs/>
          <w:sz w:val="24"/>
          <w:szCs w:val="24"/>
        </w:rPr>
        <w:t xml:space="preserve"> Statements made from the practice were consistent; the GP partner who owned the building was retiring and wanted to sell the property. The remaining GPs due to the state of the building had no desire to purchase the building. The ICB was not in control of the messaging as practice is an Independent </w:t>
      </w:r>
      <w:r w:rsidR="005B4140" w:rsidRPr="009B557D">
        <w:rPr>
          <w:rFonts w:ascii="Gill Sans MT" w:hAnsi="Gill Sans MT"/>
          <w:i/>
          <w:iCs/>
          <w:sz w:val="24"/>
          <w:szCs w:val="24"/>
        </w:rPr>
        <w:t>Contractor,</w:t>
      </w:r>
      <w:r w:rsidRPr="009B557D">
        <w:rPr>
          <w:rFonts w:ascii="Gill Sans MT" w:hAnsi="Gill Sans MT"/>
          <w:i/>
          <w:iCs/>
          <w:sz w:val="24"/>
          <w:szCs w:val="24"/>
        </w:rPr>
        <w:t xml:space="preserve"> and the responsibility sat with them.</w:t>
      </w:r>
    </w:p>
    <w:p w14:paraId="04BCEB3B" w14:textId="77777777" w:rsidR="00105063" w:rsidRPr="00203DF9" w:rsidRDefault="005F051D" w:rsidP="00BA5AEE">
      <w:pPr>
        <w:jc w:val="both"/>
        <w:rPr>
          <w:rFonts w:ascii="Gill Sans MT" w:hAnsi="Gill Sans MT"/>
          <w:sz w:val="24"/>
          <w:szCs w:val="24"/>
        </w:rPr>
      </w:pPr>
      <w:r>
        <w:rPr>
          <w:rFonts w:ascii="Gill Sans MT" w:hAnsi="Gill Sans MT"/>
          <w:sz w:val="24"/>
          <w:szCs w:val="24"/>
        </w:rPr>
        <w:t xml:space="preserve">The title of this </w:t>
      </w:r>
      <w:r w:rsidR="00200FE3">
        <w:rPr>
          <w:rFonts w:ascii="Gill Sans MT" w:hAnsi="Gill Sans MT"/>
          <w:sz w:val="24"/>
          <w:szCs w:val="24"/>
        </w:rPr>
        <w:t>paragraph somewhat gives the game away as it refers to</w:t>
      </w:r>
      <w:r w:rsidR="00200FE3" w:rsidRPr="00203DF9">
        <w:rPr>
          <w:rFonts w:ascii="Gill Sans MT" w:hAnsi="Gill Sans MT"/>
          <w:i/>
          <w:iCs/>
          <w:sz w:val="24"/>
          <w:szCs w:val="24"/>
        </w:rPr>
        <w:t xml:space="preserve"> </w:t>
      </w:r>
      <w:r w:rsidR="00105063" w:rsidRPr="00203DF9">
        <w:rPr>
          <w:rFonts w:ascii="Gill Sans MT" w:hAnsi="Gill Sans MT"/>
          <w:i/>
          <w:iCs/>
          <w:sz w:val="24"/>
          <w:szCs w:val="24"/>
        </w:rPr>
        <w:t>“</w:t>
      </w:r>
      <w:r w:rsidR="00200FE3" w:rsidRPr="00203DF9">
        <w:rPr>
          <w:rFonts w:ascii="Gill Sans MT" w:hAnsi="Gill Sans MT"/>
          <w:i/>
          <w:iCs/>
          <w:sz w:val="24"/>
          <w:szCs w:val="24"/>
        </w:rPr>
        <w:t xml:space="preserve">statements made about </w:t>
      </w:r>
      <w:r w:rsidR="00200FE3" w:rsidRPr="00203DF9">
        <w:rPr>
          <w:rFonts w:ascii="Gill Sans MT" w:hAnsi="Gill Sans MT"/>
          <w:b/>
          <w:bCs/>
          <w:i/>
          <w:iCs/>
          <w:sz w:val="24"/>
          <w:szCs w:val="24"/>
          <w:u w:val="single"/>
        </w:rPr>
        <w:t>serving notice</w:t>
      </w:r>
      <w:r w:rsidR="00200FE3" w:rsidRPr="00203DF9">
        <w:rPr>
          <w:rFonts w:ascii="Gill Sans MT" w:hAnsi="Gill Sans MT"/>
          <w:i/>
          <w:iCs/>
          <w:sz w:val="24"/>
          <w:szCs w:val="24"/>
        </w:rPr>
        <w:t xml:space="preserve"> on the tenancy of the premises</w:t>
      </w:r>
      <w:r w:rsidR="00105063" w:rsidRPr="00203DF9">
        <w:rPr>
          <w:rFonts w:ascii="Gill Sans MT" w:hAnsi="Gill Sans MT"/>
          <w:sz w:val="24"/>
          <w:szCs w:val="24"/>
        </w:rPr>
        <w:t xml:space="preserve">” </w:t>
      </w:r>
    </w:p>
    <w:p w14:paraId="458E46FC" w14:textId="55CBC121" w:rsidR="00AC194E" w:rsidRDefault="00200FE3" w:rsidP="00BA5AEE">
      <w:pPr>
        <w:jc w:val="both"/>
        <w:rPr>
          <w:rFonts w:ascii="Gill Sans MT" w:hAnsi="Gill Sans MT"/>
          <w:sz w:val="24"/>
          <w:szCs w:val="24"/>
        </w:rPr>
      </w:pPr>
      <w:r>
        <w:rPr>
          <w:rFonts w:ascii="Gill Sans MT" w:hAnsi="Gill Sans MT"/>
          <w:sz w:val="24"/>
          <w:szCs w:val="24"/>
        </w:rPr>
        <w:t>‘</w:t>
      </w:r>
      <w:r w:rsidR="007343CB" w:rsidRPr="00BA5AEE">
        <w:rPr>
          <w:rFonts w:ascii="Gill Sans MT" w:hAnsi="Gill Sans MT"/>
          <w:sz w:val="24"/>
          <w:szCs w:val="24"/>
        </w:rPr>
        <w:t xml:space="preserve">During the consultation at no point did anyone from St Elizabeth’s Medical </w:t>
      </w:r>
      <w:r w:rsidR="008D6F50">
        <w:rPr>
          <w:rFonts w:ascii="Gill Sans MT" w:hAnsi="Gill Sans MT"/>
          <w:sz w:val="24"/>
          <w:szCs w:val="24"/>
        </w:rPr>
        <w:t>Centre</w:t>
      </w:r>
      <w:r w:rsidR="007343CB" w:rsidRPr="00BA5AEE">
        <w:rPr>
          <w:rFonts w:ascii="Gill Sans MT" w:hAnsi="Gill Sans MT"/>
          <w:sz w:val="24"/>
          <w:szCs w:val="24"/>
        </w:rPr>
        <w:t xml:space="preserve"> </w:t>
      </w:r>
      <w:r w:rsidR="009E65D2" w:rsidRPr="00BA5AEE">
        <w:rPr>
          <w:rFonts w:ascii="Gill Sans MT" w:hAnsi="Gill Sans MT"/>
          <w:sz w:val="24"/>
          <w:szCs w:val="24"/>
        </w:rPr>
        <w:t>or the ICB involve Dr Wood or his representative (his son Dr Marcus Wood)</w:t>
      </w:r>
      <w:r w:rsidR="002359F8" w:rsidRPr="00BA5AEE">
        <w:rPr>
          <w:rFonts w:ascii="Gill Sans MT" w:hAnsi="Gill Sans MT"/>
          <w:sz w:val="24"/>
          <w:szCs w:val="24"/>
        </w:rPr>
        <w:t xml:space="preserve"> to determine the precise intentions of Dr Wood as the owner of 10 The Common</w:t>
      </w:r>
      <w:r w:rsidR="00AD7AFA" w:rsidRPr="00BA5AEE">
        <w:rPr>
          <w:rFonts w:ascii="Gill Sans MT" w:hAnsi="Gill Sans MT"/>
          <w:sz w:val="24"/>
          <w:szCs w:val="24"/>
        </w:rPr>
        <w:t xml:space="preserve">. Councillor Zufar Haq did go to Dr Wood’s home and </w:t>
      </w:r>
      <w:r w:rsidR="00623BB2" w:rsidRPr="00BA5AEE">
        <w:rPr>
          <w:rFonts w:ascii="Gill Sans MT" w:hAnsi="Gill Sans MT"/>
          <w:sz w:val="24"/>
          <w:szCs w:val="24"/>
        </w:rPr>
        <w:t xml:space="preserve">discussed the matter with him. </w:t>
      </w:r>
      <w:r w:rsidR="00155E5E">
        <w:rPr>
          <w:rFonts w:ascii="Gill Sans MT" w:hAnsi="Gill Sans MT"/>
          <w:sz w:val="24"/>
          <w:szCs w:val="24"/>
        </w:rPr>
        <w:t>Dr Wood</w:t>
      </w:r>
      <w:r w:rsidR="00623BB2" w:rsidRPr="00BA5AEE">
        <w:rPr>
          <w:rFonts w:ascii="Gill Sans MT" w:hAnsi="Gill Sans MT"/>
          <w:sz w:val="24"/>
          <w:szCs w:val="24"/>
        </w:rPr>
        <w:t xml:space="preserve"> stated unequivocally that his intention was to sell 10 The Common but that he was in no hurry to do so and </w:t>
      </w:r>
      <w:r w:rsidR="00626D70" w:rsidRPr="00BA5AEE">
        <w:rPr>
          <w:rFonts w:ascii="Gill Sans MT" w:hAnsi="Gill Sans MT"/>
          <w:sz w:val="24"/>
          <w:szCs w:val="24"/>
        </w:rPr>
        <w:t>wanted to ensure continuity of the surgery service</w:t>
      </w:r>
      <w:r w:rsidR="00052693" w:rsidRPr="00BA5AEE">
        <w:rPr>
          <w:rFonts w:ascii="Gill Sans MT" w:hAnsi="Gill Sans MT"/>
          <w:sz w:val="24"/>
          <w:szCs w:val="24"/>
        </w:rPr>
        <w:t xml:space="preserve"> by selling to another GP. Thus</w:t>
      </w:r>
      <w:r w:rsidR="00DA3DF8">
        <w:rPr>
          <w:rFonts w:ascii="Gill Sans MT" w:hAnsi="Gill Sans MT"/>
          <w:sz w:val="24"/>
          <w:szCs w:val="24"/>
        </w:rPr>
        <w:t>,</w:t>
      </w:r>
      <w:r w:rsidR="00052693" w:rsidRPr="00BA5AEE">
        <w:rPr>
          <w:rFonts w:ascii="Gill Sans MT" w:hAnsi="Gill Sans MT"/>
          <w:sz w:val="24"/>
          <w:szCs w:val="24"/>
        </w:rPr>
        <w:t xml:space="preserve"> the due diligence fails because it was based </w:t>
      </w:r>
      <w:r w:rsidR="00645AEA" w:rsidRPr="00BA5AEE">
        <w:rPr>
          <w:rFonts w:ascii="Gill Sans MT" w:hAnsi="Gill Sans MT"/>
          <w:sz w:val="24"/>
          <w:szCs w:val="24"/>
        </w:rPr>
        <w:t xml:space="preserve">on false information which was amplified both by the ICB and the </w:t>
      </w:r>
      <w:r w:rsidR="00BA5AEE" w:rsidRPr="00BA5AEE">
        <w:rPr>
          <w:rFonts w:ascii="Gill Sans MT" w:hAnsi="Gill Sans MT"/>
          <w:sz w:val="24"/>
          <w:szCs w:val="24"/>
        </w:rPr>
        <w:t xml:space="preserve">Deputy Mayor and </w:t>
      </w:r>
      <w:r w:rsidR="00645AEA" w:rsidRPr="00BA5AEE">
        <w:rPr>
          <w:rFonts w:ascii="Gill Sans MT" w:hAnsi="Gill Sans MT"/>
          <w:sz w:val="24"/>
          <w:szCs w:val="24"/>
        </w:rPr>
        <w:t>Chair of the City of Leicester Health Scrutiny Committee</w:t>
      </w:r>
      <w:r w:rsidR="00BA5AEE" w:rsidRPr="00BA5AEE">
        <w:rPr>
          <w:rFonts w:ascii="Gill Sans MT" w:hAnsi="Gill Sans MT"/>
          <w:sz w:val="24"/>
          <w:szCs w:val="24"/>
        </w:rPr>
        <w:t>, Councillor Sarah Russell</w:t>
      </w:r>
      <w:r w:rsidR="005A227E">
        <w:rPr>
          <w:rFonts w:ascii="Gill Sans MT" w:hAnsi="Gill Sans MT"/>
          <w:sz w:val="24"/>
          <w:szCs w:val="24"/>
        </w:rPr>
        <w:t xml:space="preserve"> in formal meetings and at </w:t>
      </w:r>
      <w:r w:rsidR="002D6719">
        <w:rPr>
          <w:rFonts w:ascii="Gill Sans MT" w:hAnsi="Gill Sans MT"/>
          <w:sz w:val="24"/>
          <w:szCs w:val="24"/>
        </w:rPr>
        <w:t>the</w:t>
      </w:r>
      <w:r w:rsidR="00886295">
        <w:rPr>
          <w:rFonts w:ascii="Gill Sans MT" w:hAnsi="Gill Sans MT"/>
          <w:sz w:val="24"/>
          <w:szCs w:val="24"/>
        </w:rPr>
        <w:t xml:space="preserve"> </w:t>
      </w:r>
      <w:r w:rsidR="00886295" w:rsidRPr="00741FA0">
        <w:rPr>
          <w:rFonts w:ascii="Gill Sans MT" w:eastAsia="Times New Roman" w:hAnsi="Gill Sans MT" w:cs="Arial"/>
          <w:sz w:val="24"/>
          <w:szCs w:val="24"/>
          <w:lang w:eastAsia="en-GB"/>
        </w:rPr>
        <w:t xml:space="preserve">two stakeholder </w:t>
      </w:r>
      <w:r w:rsidR="00886295" w:rsidRPr="00741FA0">
        <w:rPr>
          <w:rFonts w:ascii="Gill Sans MT" w:hAnsi="Gill Sans MT"/>
          <w:sz w:val="24"/>
          <w:szCs w:val="24"/>
        </w:rPr>
        <w:t>engagement events</w:t>
      </w:r>
      <w:r w:rsidR="002D6719">
        <w:rPr>
          <w:rFonts w:ascii="Gill Sans MT" w:hAnsi="Gill Sans MT"/>
          <w:sz w:val="24"/>
          <w:szCs w:val="24"/>
        </w:rPr>
        <w:t xml:space="preserve">. </w:t>
      </w:r>
    </w:p>
    <w:p w14:paraId="51A5C19D" w14:textId="6B30FAB7" w:rsidR="00722A86" w:rsidRPr="009B557D" w:rsidRDefault="00722A86" w:rsidP="00BA5AEE">
      <w:pPr>
        <w:jc w:val="both"/>
        <w:rPr>
          <w:rFonts w:ascii="Gill Sans MT" w:hAnsi="Gill Sans MT"/>
          <w:i/>
          <w:iCs/>
          <w:sz w:val="24"/>
          <w:szCs w:val="24"/>
        </w:rPr>
      </w:pPr>
      <w:r w:rsidRPr="009B557D">
        <w:rPr>
          <w:rFonts w:ascii="Gill Sans MT" w:hAnsi="Gill Sans MT"/>
          <w:b/>
          <w:bCs/>
          <w:i/>
          <w:iCs/>
          <w:sz w:val="24"/>
          <w:szCs w:val="24"/>
        </w:rPr>
        <w:t>Explore why the ICB didn’t consider and engage with another GP contracts in the area in the interests of the population -</w:t>
      </w:r>
      <w:r w:rsidRPr="009B557D">
        <w:rPr>
          <w:rFonts w:ascii="Gill Sans MT" w:hAnsi="Gill Sans MT"/>
          <w:i/>
          <w:iCs/>
          <w:sz w:val="24"/>
          <w:szCs w:val="24"/>
        </w:rPr>
        <w:t xml:space="preserve"> The building was not fit for purpose and therefore it would have been irresponsible to engage with alternative GP’s regarding provision from this site. The practice did liaise with other GPs in the area in terms of patient registration should patients wish to transfer. They also held drop-in sessions for patients to help them complete registration forms.</w:t>
      </w:r>
    </w:p>
    <w:p w14:paraId="57C5F5C4" w14:textId="057A4156" w:rsidR="006C4C9D" w:rsidRDefault="00C4266B" w:rsidP="00BA5AEE">
      <w:pPr>
        <w:jc w:val="both"/>
      </w:pPr>
      <w:r w:rsidRPr="00E03CD2">
        <w:rPr>
          <w:rFonts w:ascii="Gill Sans MT" w:hAnsi="Gill Sans MT"/>
          <w:sz w:val="24"/>
          <w:szCs w:val="24"/>
        </w:rPr>
        <w:t xml:space="preserve">Together with </w:t>
      </w:r>
      <w:r w:rsidR="00600567" w:rsidRPr="00E03CD2">
        <w:rPr>
          <w:rFonts w:ascii="Gill Sans MT" w:hAnsi="Gill Sans MT"/>
          <w:sz w:val="24"/>
          <w:szCs w:val="24"/>
        </w:rPr>
        <w:t>the contention that ‘notice</w:t>
      </w:r>
      <w:r w:rsidR="00C80AED" w:rsidRPr="00E03CD2">
        <w:rPr>
          <w:rFonts w:ascii="Gill Sans MT" w:hAnsi="Gill Sans MT"/>
          <w:sz w:val="24"/>
          <w:szCs w:val="24"/>
        </w:rPr>
        <w:t xml:space="preserve">’ had been issued this argument formed the dual rationale for closing the surgery. </w:t>
      </w:r>
      <w:r w:rsidR="00867132" w:rsidRPr="00E03CD2">
        <w:rPr>
          <w:rFonts w:ascii="Gill Sans MT" w:hAnsi="Gill Sans MT"/>
          <w:sz w:val="24"/>
          <w:szCs w:val="24"/>
        </w:rPr>
        <w:t>The argument that the building was not fit for purpose is a false one</w:t>
      </w:r>
      <w:r w:rsidR="00EE2134" w:rsidRPr="00E03CD2">
        <w:rPr>
          <w:rFonts w:ascii="Gill Sans MT" w:hAnsi="Gill Sans MT"/>
          <w:sz w:val="24"/>
          <w:szCs w:val="24"/>
        </w:rPr>
        <w:t xml:space="preserve"> manufactured to justify taking an undemocratic </w:t>
      </w:r>
      <w:r w:rsidR="00C521FC">
        <w:rPr>
          <w:rFonts w:ascii="Gill Sans MT" w:hAnsi="Gill Sans MT"/>
          <w:sz w:val="24"/>
          <w:szCs w:val="24"/>
        </w:rPr>
        <w:t>and</w:t>
      </w:r>
      <w:r w:rsidR="003E1749">
        <w:rPr>
          <w:rFonts w:ascii="Gill Sans MT" w:hAnsi="Gill Sans MT"/>
          <w:sz w:val="24"/>
          <w:szCs w:val="24"/>
        </w:rPr>
        <w:t xml:space="preserve"> potentially</w:t>
      </w:r>
      <w:r w:rsidR="00C521FC">
        <w:rPr>
          <w:rFonts w:ascii="Gill Sans MT" w:hAnsi="Gill Sans MT"/>
          <w:sz w:val="24"/>
          <w:szCs w:val="24"/>
        </w:rPr>
        <w:t xml:space="preserve"> illegal </w:t>
      </w:r>
      <w:r w:rsidR="00B17AE4" w:rsidRPr="00E03CD2">
        <w:rPr>
          <w:rFonts w:ascii="Gill Sans MT" w:hAnsi="Gill Sans MT"/>
          <w:sz w:val="24"/>
          <w:szCs w:val="24"/>
        </w:rPr>
        <w:t>decision</w:t>
      </w:r>
      <w:r w:rsidR="00D26701" w:rsidRPr="00E03CD2">
        <w:rPr>
          <w:rFonts w:ascii="Gill Sans MT" w:hAnsi="Gill Sans MT"/>
          <w:sz w:val="24"/>
          <w:szCs w:val="24"/>
        </w:rPr>
        <w:t xml:space="preserve">. </w:t>
      </w:r>
      <w:r w:rsidR="004A3723" w:rsidRPr="00E03CD2">
        <w:rPr>
          <w:rFonts w:ascii="Gill Sans MT" w:hAnsi="Gill Sans MT"/>
          <w:sz w:val="24"/>
          <w:szCs w:val="24"/>
        </w:rPr>
        <w:t xml:space="preserve">In determining the building not fit for purpose </w:t>
      </w:r>
      <w:r w:rsidR="00D87ECF">
        <w:rPr>
          <w:rFonts w:ascii="Gill Sans MT" w:hAnsi="Gill Sans MT"/>
          <w:sz w:val="24"/>
          <w:szCs w:val="24"/>
        </w:rPr>
        <w:t xml:space="preserve">the </w:t>
      </w:r>
      <w:r w:rsidR="004A3723" w:rsidRPr="00E03CD2">
        <w:rPr>
          <w:rFonts w:ascii="Gill Sans MT" w:hAnsi="Gill Sans MT"/>
          <w:sz w:val="24"/>
          <w:szCs w:val="24"/>
        </w:rPr>
        <w:t xml:space="preserve">ICB </w:t>
      </w:r>
      <w:r w:rsidR="001262EB">
        <w:rPr>
          <w:rFonts w:ascii="Gill Sans MT" w:hAnsi="Gill Sans MT"/>
          <w:sz w:val="24"/>
          <w:szCs w:val="24"/>
        </w:rPr>
        <w:t>stated</w:t>
      </w:r>
      <w:r w:rsidR="00EE7346">
        <w:rPr>
          <w:rFonts w:ascii="Gill Sans MT" w:hAnsi="Gill Sans MT"/>
          <w:sz w:val="24"/>
          <w:szCs w:val="24"/>
        </w:rPr>
        <w:t xml:space="preserve">: </w:t>
      </w:r>
      <w:r w:rsidR="00E03CD2" w:rsidRPr="00E03CD2">
        <w:rPr>
          <w:rFonts w:ascii="Gill Sans MT" w:hAnsi="Gill Sans MT"/>
          <w:sz w:val="24"/>
          <w:szCs w:val="24"/>
        </w:rPr>
        <w:t>“Modern General Practice refers to additional primary care services offered by a range of health professionals (beyond the traditional GP and practice nurse roles), including for instance, pharmacists, social prescribers, physiotherapists, mental health practitioners, and other professionals. The Practice consultation indicated that physical space to expand provision (i.e. to accommodate the full range of Modern General Practice services) would not be possible in the building, notwithstanding any improvement works.”</w:t>
      </w:r>
      <w:r w:rsidR="00E03CD2">
        <w:rPr>
          <w:rFonts w:ascii="Gill Sans MT" w:hAnsi="Gill Sans MT"/>
          <w:sz w:val="24"/>
          <w:szCs w:val="24"/>
        </w:rPr>
        <w:t xml:space="preserve"> (Source: </w:t>
      </w:r>
      <w:r w:rsidR="00F120E6">
        <w:rPr>
          <w:rFonts w:ascii="Gill Sans MT" w:hAnsi="Gill Sans MT"/>
          <w:sz w:val="24"/>
          <w:szCs w:val="24"/>
        </w:rPr>
        <w:t xml:space="preserve">Freedom of Information response from ICB dated </w:t>
      </w:r>
      <w:r w:rsidR="00F120E6">
        <w:t>19 December 2024).</w:t>
      </w:r>
    </w:p>
    <w:p w14:paraId="4A0A747B" w14:textId="1A547864" w:rsidR="009C28F3" w:rsidRDefault="009C28F3" w:rsidP="00BA5AEE">
      <w:pPr>
        <w:jc w:val="both"/>
        <w:rPr>
          <w:rFonts w:ascii="Gill Sans MT" w:hAnsi="Gill Sans MT"/>
          <w:sz w:val="24"/>
          <w:szCs w:val="24"/>
        </w:rPr>
      </w:pPr>
      <w:r w:rsidRPr="00C96BC4">
        <w:rPr>
          <w:rFonts w:ascii="Gill Sans MT" w:hAnsi="Gill Sans MT"/>
          <w:sz w:val="24"/>
          <w:szCs w:val="24"/>
        </w:rPr>
        <w:t xml:space="preserve">The </w:t>
      </w:r>
      <w:r w:rsidR="006C23B6" w:rsidRPr="00C96BC4">
        <w:rPr>
          <w:rFonts w:ascii="Gill Sans MT" w:hAnsi="Gill Sans MT"/>
          <w:sz w:val="24"/>
          <w:szCs w:val="24"/>
        </w:rPr>
        <w:t xml:space="preserve">branch surgery was never intended as a full GP practice surgery, it has operated for decades as an effective and </w:t>
      </w:r>
      <w:r w:rsidR="00375B39" w:rsidRPr="00C96BC4">
        <w:rPr>
          <w:rFonts w:ascii="Gill Sans MT" w:hAnsi="Gill Sans MT"/>
          <w:sz w:val="24"/>
          <w:szCs w:val="24"/>
        </w:rPr>
        <w:t>well-respected</w:t>
      </w:r>
      <w:r w:rsidR="006C23B6" w:rsidRPr="00C96BC4">
        <w:rPr>
          <w:rFonts w:ascii="Gill Sans MT" w:hAnsi="Gill Sans MT"/>
          <w:sz w:val="24"/>
          <w:szCs w:val="24"/>
        </w:rPr>
        <w:t xml:space="preserve"> branch surgery that affords the </w:t>
      </w:r>
      <w:r w:rsidR="00C86240" w:rsidRPr="00C96BC4">
        <w:rPr>
          <w:rFonts w:ascii="Gill Sans MT" w:hAnsi="Gill Sans MT"/>
          <w:sz w:val="24"/>
          <w:szCs w:val="24"/>
        </w:rPr>
        <w:t>population with a local, accessible service</w:t>
      </w:r>
      <w:r w:rsidR="00E570CF" w:rsidRPr="00C96BC4">
        <w:rPr>
          <w:rFonts w:ascii="Gill Sans MT" w:hAnsi="Gill Sans MT"/>
          <w:sz w:val="24"/>
          <w:szCs w:val="24"/>
        </w:rPr>
        <w:t xml:space="preserve"> offering first class GP and nursing services.</w:t>
      </w:r>
    </w:p>
    <w:p w14:paraId="757C6E7A" w14:textId="227B1707" w:rsidR="000C34BC" w:rsidRPr="006039A3" w:rsidRDefault="000C34BC" w:rsidP="00BA5AEE">
      <w:pPr>
        <w:jc w:val="both"/>
        <w:rPr>
          <w:rFonts w:ascii="Gill Sans MT" w:hAnsi="Gill Sans MT"/>
          <w:sz w:val="24"/>
          <w:szCs w:val="24"/>
        </w:rPr>
      </w:pPr>
      <w:r>
        <w:rPr>
          <w:rFonts w:ascii="Gill Sans MT" w:hAnsi="Gill Sans MT"/>
          <w:sz w:val="24"/>
          <w:szCs w:val="24"/>
        </w:rPr>
        <w:lastRenderedPageBreak/>
        <w:t xml:space="preserve">The Practice/ICB stated that the branch surgery </w:t>
      </w:r>
      <w:r w:rsidRPr="006039A3">
        <w:rPr>
          <w:rFonts w:ascii="Gill Sans MT" w:hAnsi="Gill Sans MT"/>
          <w:sz w:val="24"/>
          <w:szCs w:val="24"/>
        </w:rPr>
        <w:t>“required significant investment to bring it up to the required standards for Infection Prevention Control (IPC) and Care Quality Commission (CQC) requirements.</w:t>
      </w:r>
      <w:r w:rsidR="00090AE3" w:rsidRPr="006039A3">
        <w:rPr>
          <w:rFonts w:ascii="Gill Sans MT" w:hAnsi="Gill Sans MT"/>
          <w:sz w:val="24"/>
          <w:szCs w:val="24"/>
        </w:rPr>
        <w:t xml:space="preserve">” They do not appear to provide details of </w:t>
      </w:r>
      <w:r w:rsidR="00DB7DB9" w:rsidRPr="006039A3">
        <w:rPr>
          <w:rFonts w:ascii="Gill Sans MT" w:hAnsi="Gill Sans MT"/>
          <w:sz w:val="24"/>
          <w:szCs w:val="24"/>
        </w:rPr>
        <w:t>this,</w:t>
      </w:r>
      <w:r w:rsidR="00090AE3" w:rsidRPr="006039A3">
        <w:rPr>
          <w:rFonts w:ascii="Gill Sans MT" w:hAnsi="Gill Sans MT"/>
          <w:sz w:val="24"/>
          <w:szCs w:val="24"/>
        </w:rPr>
        <w:t xml:space="preserve"> and it was never raised as a risk prior to the </w:t>
      </w:r>
      <w:r w:rsidR="002F69B8" w:rsidRPr="006039A3">
        <w:rPr>
          <w:rFonts w:ascii="Gill Sans MT" w:hAnsi="Gill Sans MT"/>
          <w:sz w:val="24"/>
          <w:szCs w:val="24"/>
        </w:rPr>
        <w:t>intention to close the building.</w:t>
      </w:r>
    </w:p>
    <w:p w14:paraId="7CEE1F9F" w14:textId="47A300DF" w:rsidR="00AC066D" w:rsidRPr="00182993" w:rsidRDefault="00E570CF" w:rsidP="00BA5AEE">
      <w:pPr>
        <w:jc w:val="both"/>
        <w:rPr>
          <w:rFonts w:ascii="Gill Sans MT" w:hAnsi="Gill Sans MT"/>
          <w:sz w:val="24"/>
          <w:szCs w:val="24"/>
        </w:rPr>
      </w:pPr>
      <w:r w:rsidRPr="00182993">
        <w:rPr>
          <w:rFonts w:ascii="Gill Sans MT" w:hAnsi="Gill Sans MT"/>
          <w:sz w:val="24"/>
          <w:szCs w:val="24"/>
        </w:rPr>
        <w:t xml:space="preserve">To supplement their </w:t>
      </w:r>
      <w:r w:rsidR="008834AD" w:rsidRPr="00182993">
        <w:rPr>
          <w:rFonts w:ascii="Gill Sans MT" w:hAnsi="Gill Sans MT"/>
          <w:sz w:val="24"/>
          <w:szCs w:val="24"/>
        </w:rPr>
        <w:t xml:space="preserve">weak, manufactured excuse for the closure </w:t>
      </w:r>
      <w:r w:rsidR="00375B39" w:rsidRPr="00182993">
        <w:rPr>
          <w:rFonts w:ascii="Gill Sans MT" w:hAnsi="Gill Sans MT"/>
          <w:sz w:val="24"/>
          <w:szCs w:val="24"/>
        </w:rPr>
        <w:t>of the branch surgery</w:t>
      </w:r>
      <w:r w:rsidR="00217A5E" w:rsidRPr="00182993">
        <w:rPr>
          <w:rFonts w:ascii="Gill Sans MT" w:hAnsi="Gill Sans MT"/>
          <w:sz w:val="24"/>
          <w:szCs w:val="24"/>
        </w:rPr>
        <w:t>,</w:t>
      </w:r>
      <w:r w:rsidR="00375B39" w:rsidRPr="00182993">
        <w:rPr>
          <w:rFonts w:ascii="Gill Sans MT" w:hAnsi="Gill Sans MT"/>
          <w:sz w:val="24"/>
          <w:szCs w:val="24"/>
        </w:rPr>
        <w:t xml:space="preserve"> </w:t>
      </w:r>
      <w:r w:rsidR="008834AD" w:rsidRPr="00182993">
        <w:rPr>
          <w:rFonts w:ascii="Gill Sans MT" w:hAnsi="Gill Sans MT"/>
          <w:sz w:val="24"/>
          <w:szCs w:val="24"/>
        </w:rPr>
        <w:t xml:space="preserve">further </w:t>
      </w:r>
      <w:r w:rsidR="00C1724C" w:rsidRPr="00182993">
        <w:rPr>
          <w:rFonts w:ascii="Gill Sans MT" w:hAnsi="Gill Sans MT"/>
          <w:sz w:val="24"/>
          <w:szCs w:val="24"/>
        </w:rPr>
        <w:t xml:space="preserve">additional </w:t>
      </w:r>
      <w:r w:rsidR="008834AD" w:rsidRPr="00182993">
        <w:rPr>
          <w:rFonts w:ascii="Gill Sans MT" w:hAnsi="Gill Sans MT"/>
          <w:sz w:val="24"/>
          <w:szCs w:val="24"/>
        </w:rPr>
        <w:t xml:space="preserve">risks were </w:t>
      </w:r>
      <w:r w:rsidR="00375B39" w:rsidRPr="00182993">
        <w:rPr>
          <w:rFonts w:ascii="Gill Sans MT" w:hAnsi="Gill Sans MT"/>
          <w:sz w:val="24"/>
          <w:szCs w:val="24"/>
        </w:rPr>
        <w:t>massaged into the equa</w:t>
      </w:r>
      <w:r w:rsidR="00B3611F" w:rsidRPr="00182993">
        <w:rPr>
          <w:rFonts w:ascii="Gill Sans MT" w:hAnsi="Gill Sans MT"/>
          <w:sz w:val="24"/>
          <w:szCs w:val="24"/>
        </w:rPr>
        <w:t>tion as follows:</w:t>
      </w:r>
    </w:p>
    <w:p w14:paraId="73DD7220" w14:textId="117E6119" w:rsidR="00AC066D" w:rsidRPr="00182993" w:rsidRDefault="00B3611F" w:rsidP="00BA5AEE">
      <w:pPr>
        <w:jc w:val="both"/>
        <w:rPr>
          <w:rFonts w:ascii="Gill Sans MT" w:hAnsi="Gill Sans MT"/>
          <w:sz w:val="24"/>
          <w:szCs w:val="24"/>
        </w:rPr>
      </w:pPr>
      <w:r w:rsidRPr="00182993">
        <w:rPr>
          <w:rFonts w:ascii="Gill Sans MT" w:hAnsi="Gill Sans MT"/>
          <w:sz w:val="24"/>
          <w:szCs w:val="24"/>
        </w:rPr>
        <w:t>“</w:t>
      </w:r>
      <w:r w:rsidR="00AC066D" w:rsidRPr="00182993">
        <w:rPr>
          <w:rFonts w:ascii="Gill Sans MT" w:hAnsi="Gill Sans MT"/>
          <w:sz w:val="24"/>
          <w:szCs w:val="24"/>
        </w:rPr>
        <w:t xml:space="preserve">The risks identified by the practice related to fire safety and access; namely that there was no dedicated fire exit, no fire safety lighting, only one smoke alarm throughout the premises and wheelchair access was limited. The windows did not fully open as there were metal bars at the window for security purposes and ventilation in </w:t>
      </w:r>
      <w:r w:rsidR="00375B39" w:rsidRPr="00182993">
        <w:rPr>
          <w:rFonts w:ascii="Gill Sans MT" w:hAnsi="Gill Sans MT"/>
          <w:sz w:val="24"/>
          <w:szCs w:val="24"/>
        </w:rPr>
        <w:t>the</w:t>
      </w:r>
      <w:r w:rsidR="00AC066D" w:rsidRPr="00182993">
        <w:rPr>
          <w:rFonts w:ascii="Gill Sans MT" w:hAnsi="Gill Sans MT"/>
          <w:sz w:val="24"/>
          <w:szCs w:val="24"/>
        </w:rPr>
        <w:t xml:space="preserve"> consulting room was only possible by climbing on to the consultation couch. The LLR ICB was also alerted to limited space in the clinical room which could cause a trip hazard for the clinician and patients. The premises was also noted as having damp issues, rotten wood and the carpeting requiring replacement.</w:t>
      </w:r>
      <w:r w:rsidRPr="00182993">
        <w:rPr>
          <w:rFonts w:ascii="Gill Sans MT" w:hAnsi="Gill Sans MT"/>
          <w:sz w:val="24"/>
          <w:szCs w:val="24"/>
        </w:rPr>
        <w:t>”</w:t>
      </w:r>
    </w:p>
    <w:p w14:paraId="4C6E3522" w14:textId="18AB556F" w:rsidR="00B3611F" w:rsidRPr="00182993" w:rsidRDefault="00760BC2" w:rsidP="00BA5AEE">
      <w:pPr>
        <w:jc w:val="both"/>
        <w:rPr>
          <w:rFonts w:ascii="Gill Sans MT" w:hAnsi="Gill Sans MT"/>
          <w:sz w:val="24"/>
          <w:szCs w:val="24"/>
        </w:rPr>
      </w:pPr>
      <w:r w:rsidRPr="00182993">
        <w:rPr>
          <w:rFonts w:ascii="Gill Sans MT" w:hAnsi="Gill Sans MT"/>
          <w:sz w:val="24"/>
          <w:szCs w:val="24"/>
        </w:rPr>
        <w:t>The practice has operated for decades</w:t>
      </w:r>
      <w:r w:rsidR="00624A34" w:rsidRPr="00182993">
        <w:rPr>
          <w:rFonts w:ascii="Gill Sans MT" w:hAnsi="Gill Sans MT"/>
          <w:sz w:val="24"/>
          <w:szCs w:val="24"/>
        </w:rPr>
        <w:t xml:space="preserve"> without any risks identified</w:t>
      </w:r>
      <w:r w:rsidR="009B1F4F" w:rsidRPr="00182993">
        <w:rPr>
          <w:rFonts w:ascii="Gill Sans MT" w:hAnsi="Gill Sans MT"/>
          <w:sz w:val="24"/>
          <w:szCs w:val="24"/>
        </w:rPr>
        <w:t xml:space="preserve"> until the Practice and the ICB required excuses to justify closing it. </w:t>
      </w:r>
      <w:r w:rsidR="00DE2547" w:rsidRPr="00182993">
        <w:rPr>
          <w:rFonts w:ascii="Gill Sans MT" w:hAnsi="Gill Sans MT"/>
          <w:sz w:val="24"/>
          <w:szCs w:val="24"/>
        </w:rPr>
        <w:t xml:space="preserve">The building the ICB has itself said is small and as such </w:t>
      </w:r>
      <w:r w:rsidR="00A53FB2" w:rsidRPr="00182993">
        <w:rPr>
          <w:rFonts w:ascii="Gill Sans MT" w:hAnsi="Gill Sans MT"/>
          <w:sz w:val="24"/>
          <w:szCs w:val="24"/>
        </w:rPr>
        <w:t>hardly requires a second exit. As to fire safety lighting</w:t>
      </w:r>
      <w:r w:rsidR="00CB11CF" w:rsidRPr="00182993">
        <w:rPr>
          <w:rFonts w:ascii="Gill Sans MT" w:hAnsi="Gill Sans MT"/>
          <w:sz w:val="24"/>
          <w:szCs w:val="24"/>
        </w:rPr>
        <w:t xml:space="preserve"> and </w:t>
      </w:r>
      <w:r w:rsidR="00A53FB2" w:rsidRPr="00182993">
        <w:rPr>
          <w:rFonts w:ascii="Gill Sans MT" w:hAnsi="Gill Sans MT"/>
          <w:sz w:val="24"/>
          <w:szCs w:val="24"/>
        </w:rPr>
        <w:t>only one smoke alarm</w:t>
      </w:r>
      <w:r w:rsidR="00CB11CF" w:rsidRPr="00182993">
        <w:rPr>
          <w:rFonts w:ascii="Gill Sans MT" w:hAnsi="Gill Sans MT"/>
          <w:sz w:val="24"/>
          <w:szCs w:val="24"/>
        </w:rPr>
        <w:t>, these issues are straight forward and not costly to resolve.</w:t>
      </w:r>
      <w:r w:rsidR="00BA550D" w:rsidRPr="00182993">
        <w:rPr>
          <w:rFonts w:ascii="Gill Sans MT" w:hAnsi="Gill Sans MT"/>
          <w:sz w:val="24"/>
          <w:szCs w:val="24"/>
        </w:rPr>
        <w:t xml:space="preserve"> </w:t>
      </w:r>
      <w:r w:rsidR="00CB11CF" w:rsidRPr="00182993">
        <w:rPr>
          <w:rFonts w:ascii="Gill Sans MT" w:hAnsi="Gill Sans MT"/>
          <w:sz w:val="24"/>
          <w:szCs w:val="24"/>
        </w:rPr>
        <w:t>W</w:t>
      </w:r>
      <w:r w:rsidR="00A53FB2" w:rsidRPr="00182993">
        <w:rPr>
          <w:rFonts w:ascii="Gill Sans MT" w:hAnsi="Gill Sans MT"/>
          <w:sz w:val="24"/>
          <w:szCs w:val="24"/>
        </w:rPr>
        <w:t xml:space="preserve">heelchair access </w:t>
      </w:r>
      <w:r w:rsidR="00CB11CF" w:rsidRPr="00182993">
        <w:rPr>
          <w:rFonts w:ascii="Gill Sans MT" w:hAnsi="Gill Sans MT"/>
          <w:sz w:val="24"/>
          <w:szCs w:val="24"/>
        </w:rPr>
        <w:t xml:space="preserve">may be </w:t>
      </w:r>
      <w:r w:rsidR="00632E30" w:rsidRPr="00182993">
        <w:rPr>
          <w:rFonts w:ascii="Gill Sans MT" w:hAnsi="Gill Sans MT"/>
          <w:sz w:val="24"/>
          <w:szCs w:val="24"/>
        </w:rPr>
        <w:t>limited</w:t>
      </w:r>
      <w:r w:rsidR="00BA550D" w:rsidRPr="00182993">
        <w:rPr>
          <w:rFonts w:ascii="Gill Sans MT" w:hAnsi="Gill Sans MT"/>
          <w:sz w:val="24"/>
          <w:szCs w:val="24"/>
        </w:rPr>
        <w:t xml:space="preserve"> </w:t>
      </w:r>
      <w:r w:rsidR="0008191C" w:rsidRPr="00182993">
        <w:rPr>
          <w:rFonts w:ascii="Gill Sans MT" w:hAnsi="Gill Sans MT"/>
          <w:sz w:val="24"/>
          <w:szCs w:val="24"/>
        </w:rPr>
        <w:t xml:space="preserve">however, </w:t>
      </w:r>
      <w:r w:rsidR="00BA550D" w:rsidRPr="00182993">
        <w:rPr>
          <w:rFonts w:ascii="Gill Sans MT" w:hAnsi="Gill Sans MT"/>
          <w:sz w:val="24"/>
          <w:szCs w:val="24"/>
        </w:rPr>
        <w:t xml:space="preserve">it has never been raised as an issue until now. </w:t>
      </w:r>
      <w:r w:rsidR="00632E30" w:rsidRPr="00182993">
        <w:rPr>
          <w:rFonts w:ascii="Gill Sans MT" w:hAnsi="Gill Sans MT"/>
          <w:sz w:val="24"/>
          <w:szCs w:val="24"/>
        </w:rPr>
        <w:t xml:space="preserve">As for </w:t>
      </w:r>
      <w:r w:rsidR="001B2653" w:rsidRPr="00182993">
        <w:rPr>
          <w:rFonts w:ascii="Gill Sans MT" w:hAnsi="Gill Sans MT"/>
          <w:sz w:val="24"/>
          <w:szCs w:val="24"/>
        </w:rPr>
        <w:t>the windows</w:t>
      </w:r>
      <w:r w:rsidR="00A53FB2" w:rsidRPr="00182993">
        <w:rPr>
          <w:rFonts w:ascii="Gill Sans MT" w:hAnsi="Gill Sans MT"/>
          <w:sz w:val="24"/>
          <w:szCs w:val="24"/>
        </w:rPr>
        <w:t xml:space="preserve"> not fully open</w:t>
      </w:r>
      <w:r w:rsidR="001B2653" w:rsidRPr="00182993">
        <w:rPr>
          <w:rFonts w:ascii="Gill Sans MT" w:hAnsi="Gill Sans MT"/>
          <w:sz w:val="24"/>
          <w:szCs w:val="24"/>
        </w:rPr>
        <w:t>ing due to</w:t>
      </w:r>
      <w:r w:rsidR="00A53FB2" w:rsidRPr="00182993">
        <w:rPr>
          <w:rFonts w:ascii="Gill Sans MT" w:hAnsi="Gill Sans MT"/>
          <w:sz w:val="24"/>
          <w:szCs w:val="24"/>
        </w:rPr>
        <w:t xml:space="preserve"> metal bars for security purposes</w:t>
      </w:r>
      <w:r w:rsidR="001B2653" w:rsidRPr="00182993">
        <w:rPr>
          <w:rFonts w:ascii="Gill Sans MT" w:hAnsi="Gill Sans MT"/>
          <w:sz w:val="24"/>
          <w:szCs w:val="24"/>
        </w:rPr>
        <w:t xml:space="preserve">, </w:t>
      </w:r>
      <w:r w:rsidR="00DA4F40" w:rsidRPr="00182993">
        <w:rPr>
          <w:rFonts w:ascii="Gill Sans MT" w:hAnsi="Gill Sans MT"/>
          <w:sz w:val="24"/>
          <w:szCs w:val="24"/>
        </w:rPr>
        <w:t xml:space="preserve">this is another resolvable issue that was not highlighted as an issue until now. </w:t>
      </w:r>
      <w:r w:rsidR="00CB3D03" w:rsidRPr="00182993">
        <w:rPr>
          <w:rFonts w:ascii="Gill Sans MT" w:hAnsi="Gill Sans MT"/>
          <w:sz w:val="24"/>
          <w:szCs w:val="24"/>
        </w:rPr>
        <w:t xml:space="preserve">The contention that </w:t>
      </w:r>
      <w:r w:rsidR="00A53FB2" w:rsidRPr="00182993">
        <w:rPr>
          <w:rFonts w:ascii="Gill Sans MT" w:hAnsi="Gill Sans MT"/>
          <w:sz w:val="24"/>
          <w:szCs w:val="24"/>
        </w:rPr>
        <w:t>ventilation in the consulting room was only possible by climbing onto the consultation couch</w:t>
      </w:r>
      <w:r w:rsidR="00CB3D03" w:rsidRPr="00182993">
        <w:rPr>
          <w:rFonts w:ascii="Gill Sans MT" w:hAnsi="Gill Sans MT"/>
          <w:sz w:val="24"/>
          <w:szCs w:val="24"/>
        </w:rPr>
        <w:t xml:space="preserve"> is laughable. </w:t>
      </w:r>
      <w:r w:rsidR="00726980" w:rsidRPr="00182993">
        <w:rPr>
          <w:rFonts w:ascii="Gill Sans MT" w:hAnsi="Gill Sans MT"/>
          <w:sz w:val="24"/>
          <w:szCs w:val="24"/>
        </w:rPr>
        <w:t>Once again this is an easily resolvable matter</w:t>
      </w:r>
      <w:r w:rsidR="00AB7BEA" w:rsidRPr="00182993">
        <w:rPr>
          <w:rFonts w:ascii="Gill Sans MT" w:hAnsi="Gill Sans MT"/>
          <w:sz w:val="24"/>
          <w:szCs w:val="24"/>
        </w:rPr>
        <w:t xml:space="preserve"> that at worst would mean replacing the window with a Velux one opened remotely or by window pole.</w:t>
      </w:r>
      <w:r w:rsidR="0034713B" w:rsidRPr="00182993">
        <w:rPr>
          <w:rFonts w:ascii="Gill Sans MT" w:hAnsi="Gill Sans MT"/>
          <w:sz w:val="24"/>
          <w:szCs w:val="24"/>
        </w:rPr>
        <w:t xml:space="preserve"> This </w:t>
      </w:r>
      <w:r w:rsidR="006763D3" w:rsidRPr="00182993">
        <w:rPr>
          <w:rFonts w:ascii="Gill Sans MT" w:hAnsi="Gill Sans MT"/>
          <w:sz w:val="24"/>
          <w:szCs w:val="24"/>
        </w:rPr>
        <w:t>being use</w:t>
      </w:r>
      <w:r w:rsidR="00876CD1" w:rsidRPr="00182993">
        <w:rPr>
          <w:rFonts w:ascii="Gill Sans MT" w:hAnsi="Gill Sans MT"/>
          <w:sz w:val="24"/>
          <w:szCs w:val="24"/>
        </w:rPr>
        <w:t>d</w:t>
      </w:r>
      <w:r w:rsidR="006763D3" w:rsidRPr="00182993">
        <w:rPr>
          <w:rFonts w:ascii="Gill Sans MT" w:hAnsi="Gill Sans MT"/>
          <w:sz w:val="24"/>
          <w:szCs w:val="24"/>
        </w:rPr>
        <w:t xml:space="preserve"> as an excuse for the closure describes the </w:t>
      </w:r>
      <w:r w:rsidR="00F65DBF" w:rsidRPr="00182993">
        <w:rPr>
          <w:rFonts w:ascii="Gill Sans MT" w:hAnsi="Gill Sans MT"/>
          <w:sz w:val="24"/>
          <w:szCs w:val="24"/>
        </w:rPr>
        <w:t>‘</w:t>
      </w:r>
      <w:r w:rsidR="006763D3" w:rsidRPr="00182993">
        <w:rPr>
          <w:rFonts w:ascii="Gill Sans MT" w:hAnsi="Gill Sans MT"/>
          <w:sz w:val="24"/>
          <w:szCs w:val="24"/>
        </w:rPr>
        <w:t>clutching at straws</w:t>
      </w:r>
      <w:r w:rsidR="00F65DBF" w:rsidRPr="00182993">
        <w:rPr>
          <w:rFonts w:ascii="Gill Sans MT" w:hAnsi="Gill Sans MT"/>
          <w:sz w:val="24"/>
          <w:szCs w:val="24"/>
        </w:rPr>
        <w:t>’ approach to this whole affair.</w:t>
      </w:r>
      <w:r w:rsidR="0064324C" w:rsidRPr="00182993">
        <w:rPr>
          <w:rFonts w:ascii="Gill Sans MT" w:hAnsi="Gill Sans MT"/>
          <w:sz w:val="24"/>
          <w:szCs w:val="24"/>
        </w:rPr>
        <w:t xml:space="preserve"> </w:t>
      </w:r>
      <w:r w:rsidR="00D827FE" w:rsidRPr="00182993">
        <w:rPr>
          <w:rFonts w:ascii="Gill Sans MT" w:hAnsi="Gill Sans MT"/>
          <w:sz w:val="24"/>
          <w:szCs w:val="24"/>
        </w:rPr>
        <w:t>In terms of the claim that there was “limited space in the clinical room which could cause a trip hazard for the clinician and patients”</w:t>
      </w:r>
      <w:r w:rsidR="00DE4908" w:rsidRPr="00182993">
        <w:rPr>
          <w:rFonts w:ascii="Gill Sans MT" w:hAnsi="Gill Sans MT"/>
          <w:sz w:val="24"/>
          <w:szCs w:val="24"/>
        </w:rPr>
        <w:t xml:space="preserve">, as a user of the said clinic room on many occasions and as an </w:t>
      </w:r>
      <w:r w:rsidR="003A70FC" w:rsidRPr="00182993">
        <w:rPr>
          <w:rFonts w:ascii="Gill Sans MT" w:hAnsi="Gill Sans MT"/>
          <w:sz w:val="24"/>
          <w:szCs w:val="24"/>
        </w:rPr>
        <w:t>ex-inspector</w:t>
      </w:r>
      <w:r w:rsidR="00DE4908" w:rsidRPr="00182993">
        <w:rPr>
          <w:rFonts w:ascii="Gill Sans MT" w:hAnsi="Gill Sans MT"/>
          <w:sz w:val="24"/>
          <w:szCs w:val="24"/>
        </w:rPr>
        <w:t xml:space="preserve"> of hospitals</w:t>
      </w:r>
      <w:r w:rsidR="00195B8B" w:rsidRPr="00182993">
        <w:rPr>
          <w:rFonts w:ascii="Gill Sans MT" w:hAnsi="Gill Sans MT"/>
          <w:sz w:val="24"/>
          <w:szCs w:val="24"/>
        </w:rPr>
        <w:t xml:space="preserve"> this is an exaggeration of the </w:t>
      </w:r>
      <w:r w:rsidR="00574390" w:rsidRPr="00182993">
        <w:rPr>
          <w:rFonts w:ascii="Gill Sans MT" w:hAnsi="Gill Sans MT"/>
          <w:sz w:val="24"/>
          <w:szCs w:val="24"/>
        </w:rPr>
        <w:t>situation and lacks any validity.</w:t>
      </w:r>
    </w:p>
    <w:p w14:paraId="6EFCEBD7" w14:textId="5784C5D7" w:rsidR="00E773EE" w:rsidRPr="00182993" w:rsidRDefault="00E773EE" w:rsidP="00BA5AEE">
      <w:pPr>
        <w:jc w:val="both"/>
        <w:rPr>
          <w:rFonts w:ascii="Gill Sans MT" w:hAnsi="Gill Sans MT"/>
          <w:sz w:val="24"/>
          <w:szCs w:val="24"/>
        </w:rPr>
      </w:pPr>
      <w:r w:rsidRPr="00182993">
        <w:rPr>
          <w:rFonts w:ascii="Gill Sans MT" w:hAnsi="Gill Sans MT"/>
          <w:sz w:val="24"/>
          <w:szCs w:val="24"/>
        </w:rPr>
        <w:t>Three separate GP practices put forward an interest in continuing services out of 10 The Common but at least one of them was refused</w:t>
      </w:r>
      <w:r w:rsidR="00D62BA2" w:rsidRPr="00182993">
        <w:rPr>
          <w:rFonts w:ascii="Gill Sans MT" w:hAnsi="Gill Sans MT"/>
          <w:sz w:val="24"/>
          <w:szCs w:val="24"/>
        </w:rPr>
        <w:t xml:space="preserve"> by the ICB</w:t>
      </w:r>
      <w:r w:rsidRPr="00182993">
        <w:rPr>
          <w:rFonts w:ascii="Gill Sans MT" w:hAnsi="Gill Sans MT"/>
          <w:sz w:val="24"/>
          <w:szCs w:val="24"/>
        </w:rPr>
        <w:t xml:space="preserve"> on the </w:t>
      </w:r>
      <w:r w:rsidR="00D62BA2" w:rsidRPr="00182993">
        <w:rPr>
          <w:rFonts w:ascii="Gill Sans MT" w:hAnsi="Gill Sans MT"/>
          <w:sz w:val="24"/>
          <w:szCs w:val="24"/>
        </w:rPr>
        <w:t>false grounds that the building was not fit for purpose.</w:t>
      </w:r>
    </w:p>
    <w:p w14:paraId="57FBF6B5" w14:textId="0355CFE9" w:rsidR="00F65DBF" w:rsidRPr="00182993" w:rsidRDefault="001C5B77" w:rsidP="00BA5AEE">
      <w:pPr>
        <w:jc w:val="both"/>
        <w:rPr>
          <w:rFonts w:ascii="Gill Sans MT" w:hAnsi="Gill Sans MT"/>
          <w:i/>
          <w:iCs/>
          <w:sz w:val="24"/>
          <w:szCs w:val="24"/>
        </w:rPr>
      </w:pPr>
      <w:r w:rsidRPr="00182993">
        <w:rPr>
          <w:rFonts w:ascii="Gill Sans MT" w:hAnsi="Gill Sans MT"/>
          <w:b/>
          <w:bCs/>
          <w:i/>
          <w:iCs/>
          <w:sz w:val="24"/>
          <w:szCs w:val="24"/>
        </w:rPr>
        <w:t>Review the accuracy and clarity of the communication and engagement process particularly in relation to stakeholders</w:t>
      </w:r>
      <w:r w:rsidR="00861496" w:rsidRPr="00182993">
        <w:rPr>
          <w:rFonts w:ascii="Gill Sans MT" w:hAnsi="Gill Sans MT"/>
          <w:b/>
          <w:bCs/>
          <w:i/>
          <w:iCs/>
          <w:sz w:val="24"/>
          <w:szCs w:val="24"/>
        </w:rPr>
        <w:t>-</w:t>
      </w:r>
      <w:r w:rsidR="00861496" w:rsidRPr="00182993">
        <w:rPr>
          <w:rFonts w:ascii="Gill Sans MT" w:hAnsi="Gill Sans MT"/>
          <w:sz w:val="24"/>
          <w:szCs w:val="24"/>
        </w:rPr>
        <w:t xml:space="preserve"> This appears to be a box ticking and largely irrelevant matter. More important is the fact that the Practice and the ICB have ignored </w:t>
      </w:r>
      <w:r w:rsidR="00F27EF8" w:rsidRPr="00182993">
        <w:rPr>
          <w:rFonts w:ascii="Gill Sans MT" w:hAnsi="Gill Sans MT"/>
          <w:sz w:val="24"/>
          <w:szCs w:val="24"/>
        </w:rPr>
        <w:t xml:space="preserve">feedback from the two consultation meetings and the </w:t>
      </w:r>
      <w:r w:rsidR="004F337E" w:rsidRPr="00182993">
        <w:rPr>
          <w:rFonts w:ascii="Gill Sans MT" w:hAnsi="Gill Sans MT"/>
          <w:sz w:val="24"/>
          <w:szCs w:val="24"/>
        </w:rPr>
        <w:t>survey, contrary to the Gunning Principles.</w:t>
      </w:r>
    </w:p>
    <w:p w14:paraId="7269316D" w14:textId="3EB4C5C6" w:rsidR="0037097D" w:rsidRPr="00182993" w:rsidRDefault="0037097D" w:rsidP="00BA5AEE">
      <w:pPr>
        <w:jc w:val="both"/>
        <w:rPr>
          <w:rFonts w:ascii="Gill Sans MT" w:hAnsi="Gill Sans MT"/>
          <w:sz w:val="24"/>
          <w:szCs w:val="24"/>
        </w:rPr>
      </w:pPr>
      <w:r w:rsidRPr="00182993">
        <w:rPr>
          <w:rFonts w:ascii="Gill Sans MT" w:hAnsi="Gill Sans MT"/>
          <w:b/>
          <w:bCs/>
          <w:i/>
          <w:iCs/>
          <w:sz w:val="24"/>
          <w:szCs w:val="24"/>
        </w:rPr>
        <w:t>To understand if there has been any negative impact thus far from the decision the ICB took in closing the branch site –</w:t>
      </w:r>
      <w:r w:rsidRPr="00182993">
        <w:rPr>
          <w:rFonts w:ascii="Gill Sans MT" w:hAnsi="Gill Sans MT"/>
          <w:sz w:val="24"/>
          <w:szCs w:val="24"/>
        </w:rPr>
        <w:t xml:space="preserve"> I am incredulous that the conclusion is th</w:t>
      </w:r>
      <w:r w:rsidR="00B4305D" w:rsidRPr="00182993">
        <w:rPr>
          <w:rFonts w:ascii="Gill Sans MT" w:hAnsi="Gill Sans MT"/>
          <w:sz w:val="24"/>
          <w:szCs w:val="24"/>
        </w:rPr>
        <w:t>a</w:t>
      </w:r>
      <w:r w:rsidRPr="00182993">
        <w:rPr>
          <w:rFonts w:ascii="Gill Sans MT" w:hAnsi="Gill Sans MT"/>
          <w:sz w:val="24"/>
          <w:szCs w:val="24"/>
        </w:rPr>
        <w:t xml:space="preserve">t the review </w:t>
      </w:r>
      <w:r w:rsidR="00B4305D" w:rsidRPr="00182993">
        <w:rPr>
          <w:rFonts w:ascii="Gill Sans MT" w:hAnsi="Gill Sans MT"/>
          <w:sz w:val="24"/>
          <w:szCs w:val="24"/>
        </w:rPr>
        <w:t>“</w:t>
      </w:r>
      <w:r w:rsidRPr="00182993">
        <w:rPr>
          <w:rFonts w:ascii="Gill Sans MT" w:hAnsi="Gill Sans MT"/>
          <w:sz w:val="24"/>
          <w:szCs w:val="24"/>
        </w:rPr>
        <w:t>Did not find any negative impact.</w:t>
      </w:r>
      <w:r w:rsidR="00B4305D" w:rsidRPr="00182993">
        <w:rPr>
          <w:rFonts w:ascii="Gill Sans MT" w:hAnsi="Gill Sans MT"/>
          <w:sz w:val="24"/>
          <w:szCs w:val="24"/>
        </w:rPr>
        <w:t xml:space="preserve">” </w:t>
      </w:r>
      <w:r w:rsidR="00B14FAC" w:rsidRPr="00182993">
        <w:rPr>
          <w:rFonts w:ascii="Gill Sans MT" w:hAnsi="Gill Sans MT"/>
          <w:sz w:val="24"/>
          <w:szCs w:val="24"/>
        </w:rPr>
        <w:t xml:space="preserve">For the authors of the review to state this and for the ICB to </w:t>
      </w:r>
      <w:r w:rsidR="00724E71" w:rsidRPr="00182993">
        <w:rPr>
          <w:rFonts w:ascii="Gill Sans MT" w:hAnsi="Gill Sans MT"/>
          <w:sz w:val="24"/>
          <w:szCs w:val="24"/>
        </w:rPr>
        <w:t xml:space="preserve">pass it simply demonstrates the disconnect between them and the local </w:t>
      </w:r>
      <w:r w:rsidR="00553FD9" w:rsidRPr="00182993">
        <w:rPr>
          <w:rFonts w:ascii="Gill Sans MT" w:hAnsi="Gill Sans MT"/>
          <w:sz w:val="24"/>
          <w:szCs w:val="24"/>
        </w:rPr>
        <w:t>branch surgery</w:t>
      </w:r>
      <w:r w:rsidR="00724E71" w:rsidRPr="00182993">
        <w:rPr>
          <w:rFonts w:ascii="Gill Sans MT" w:hAnsi="Gill Sans MT"/>
          <w:sz w:val="24"/>
          <w:szCs w:val="24"/>
        </w:rPr>
        <w:t xml:space="preserve"> population.</w:t>
      </w:r>
    </w:p>
    <w:p w14:paraId="55440B29" w14:textId="3FFF737E" w:rsidR="00143C5C" w:rsidRDefault="00433803" w:rsidP="00BA5AEE">
      <w:pPr>
        <w:jc w:val="both"/>
        <w:rPr>
          <w:rFonts w:ascii="Gill Sans MT" w:hAnsi="Gill Sans MT"/>
          <w:b/>
          <w:bCs/>
          <w:sz w:val="24"/>
          <w:szCs w:val="24"/>
        </w:rPr>
      </w:pPr>
      <w:r w:rsidRPr="00433803">
        <w:rPr>
          <w:rFonts w:ascii="Gill Sans MT" w:hAnsi="Gill Sans MT"/>
          <w:b/>
          <w:bCs/>
          <w:sz w:val="24"/>
          <w:szCs w:val="24"/>
        </w:rPr>
        <w:t>Conclusion</w:t>
      </w:r>
      <w:r>
        <w:rPr>
          <w:rFonts w:ascii="Gill Sans MT" w:hAnsi="Gill Sans MT"/>
          <w:b/>
          <w:bCs/>
          <w:sz w:val="24"/>
          <w:szCs w:val="24"/>
        </w:rPr>
        <w:t>s</w:t>
      </w:r>
    </w:p>
    <w:p w14:paraId="501C3040" w14:textId="58A0E14D" w:rsidR="00433803" w:rsidRDefault="008279ED" w:rsidP="00BA5AEE">
      <w:pPr>
        <w:jc w:val="both"/>
        <w:rPr>
          <w:rFonts w:ascii="Gill Sans MT" w:hAnsi="Gill Sans MT"/>
          <w:sz w:val="24"/>
          <w:szCs w:val="24"/>
        </w:rPr>
      </w:pPr>
      <w:r>
        <w:rPr>
          <w:rFonts w:ascii="Gill Sans MT" w:hAnsi="Gill Sans MT"/>
          <w:sz w:val="24"/>
          <w:szCs w:val="24"/>
        </w:rPr>
        <w:t xml:space="preserve">It is clear that this review is a device to deflect from the facts of this case. </w:t>
      </w:r>
      <w:r w:rsidR="00AA5B79">
        <w:rPr>
          <w:rFonts w:ascii="Gill Sans MT" w:hAnsi="Gill Sans MT"/>
          <w:sz w:val="24"/>
          <w:szCs w:val="24"/>
        </w:rPr>
        <w:t>The review, like the consultation and reasons put forward for the closure of the branch surgery at 10 The Common</w:t>
      </w:r>
      <w:r w:rsidR="006B781A">
        <w:rPr>
          <w:rFonts w:ascii="Gill Sans MT" w:hAnsi="Gill Sans MT"/>
          <w:sz w:val="24"/>
          <w:szCs w:val="24"/>
        </w:rPr>
        <w:t>,</w:t>
      </w:r>
      <w:r w:rsidR="00AA5B79">
        <w:rPr>
          <w:rFonts w:ascii="Gill Sans MT" w:hAnsi="Gill Sans MT"/>
          <w:sz w:val="24"/>
          <w:szCs w:val="24"/>
        </w:rPr>
        <w:t xml:space="preserve"> Evington</w:t>
      </w:r>
      <w:r w:rsidR="006B781A">
        <w:rPr>
          <w:rFonts w:ascii="Gill Sans MT" w:hAnsi="Gill Sans MT"/>
          <w:sz w:val="24"/>
          <w:szCs w:val="24"/>
        </w:rPr>
        <w:t xml:space="preserve">, fails any test of fairness, </w:t>
      </w:r>
      <w:r w:rsidR="003D3DEB">
        <w:rPr>
          <w:rFonts w:ascii="Gill Sans MT" w:hAnsi="Gill Sans MT"/>
          <w:sz w:val="24"/>
          <w:szCs w:val="24"/>
        </w:rPr>
        <w:t xml:space="preserve">logic, impartiality </w:t>
      </w:r>
      <w:r w:rsidR="00552A08">
        <w:rPr>
          <w:rFonts w:ascii="Gill Sans MT" w:hAnsi="Gill Sans MT"/>
          <w:sz w:val="24"/>
          <w:szCs w:val="24"/>
        </w:rPr>
        <w:t>and reason.</w:t>
      </w:r>
    </w:p>
    <w:p w14:paraId="7793EC88" w14:textId="6E0366CC" w:rsidR="00B07923" w:rsidRDefault="006B5330" w:rsidP="00BA5AEE">
      <w:pPr>
        <w:jc w:val="both"/>
        <w:rPr>
          <w:rFonts w:ascii="Gill Sans MT" w:hAnsi="Gill Sans MT"/>
          <w:sz w:val="24"/>
          <w:szCs w:val="24"/>
        </w:rPr>
      </w:pPr>
      <w:r>
        <w:rPr>
          <w:rFonts w:ascii="Gill Sans MT" w:hAnsi="Gill Sans MT"/>
          <w:sz w:val="24"/>
          <w:szCs w:val="24"/>
        </w:rPr>
        <w:lastRenderedPageBreak/>
        <w:t xml:space="preserve">Even if one </w:t>
      </w:r>
      <w:r w:rsidR="00AB3D0A">
        <w:rPr>
          <w:rFonts w:ascii="Gill Sans MT" w:hAnsi="Gill Sans MT"/>
          <w:sz w:val="24"/>
          <w:szCs w:val="24"/>
        </w:rPr>
        <w:t>considers the right of the Partners of St Elizabeth’s Medical Centre</w:t>
      </w:r>
      <w:r w:rsidR="00824E2D">
        <w:rPr>
          <w:rFonts w:ascii="Gill Sans MT" w:hAnsi="Gill Sans MT"/>
          <w:sz w:val="24"/>
          <w:szCs w:val="24"/>
        </w:rPr>
        <w:t xml:space="preserve"> to make a </w:t>
      </w:r>
      <w:r w:rsidR="002F5BC3">
        <w:rPr>
          <w:rFonts w:ascii="Gill Sans MT" w:hAnsi="Gill Sans MT"/>
          <w:sz w:val="24"/>
          <w:szCs w:val="24"/>
        </w:rPr>
        <w:t>‘</w:t>
      </w:r>
      <w:r w:rsidR="00824E2D">
        <w:rPr>
          <w:rFonts w:ascii="Gill Sans MT" w:hAnsi="Gill Sans MT"/>
          <w:sz w:val="24"/>
          <w:szCs w:val="24"/>
        </w:rPr>
        <w:t>business decision</w:t>
      </w:r>
      <w:r w:rsidR="002F5BC3">
        <w:rPr>
          <w:rFonts w:ascii="Gill Sans MT" w:hAnsi="Gill Sans MT"/>
          <w:sz w:val="24"/>
          <w:szCs w:val="24"/>
        </w:rPr>
        <w:t>’</w:t>
      </w:r>
      <w:r w:rsidR="00824E2D">
        <w:rPr>
          <w:rFonts w:ascii="Gill Sans MT" w:hAnsi="Gill Sans MT"/>
          <w:sz w:val="24"/>
          <w:szCs w:val="24"/>
        </w:rPr>
        <w:t xml:space="preserve">, the ICB retains responsibility for the continued provision of GP services to the local population and should have engaged </w:t>
      </w:r>
      <w:r w:rsidR="0098787A">
        <w:rPr>
          <w:rFonts w:ascii="Gill Sans MT" w:hAnsi="Gill Sans MT"/>
          <w:sz w:val="24"/>
          <w:szCs w:val="24"/>
        </w:rPr>
        <w:t xml:space="preserve">more closely </w:t>
      </w:r>
      <w:r w:rsidR="00824E2D">
        <w:rPr>
          <w:rFonts w:ascii="Gill Sans MT" w:hAnsi="Gill Sans MT"/>
          <w:sz w:val="24"/>
          <w:szCs w:val="24"/>
        </w:rPr>
        <w:t xml:space="preserve">with </w:t>
      </w:r>
      <w:r w:rsidR="0098787A">
        <w:rPr>
          <w:rFonts w:ascii="Gill Sans MT" w:hAnsi="Gill Sans MT"/>
          <w:sz w:val="24"/>
          <w:szCs w:val="24"/>
        </w:rPr>
        <w:t xml:space="preserve">those representing the needs and wishes of the branch surgery population </w:t>
      </w:r>
      <w:r w:rsidR="00F90007">
        <w:rPr>
          <w:rFonts w:ascii="Gill Sans MT" w:hAnsi="Gill Sans MT"/>
          <w:sz w:val="24"/>
          <w:szCs w:val="24"/>
        </w:rPr>
        <w:t xml:space="preserve">and any GP practice registering an interest in </w:t>
      </w:r>
      <w:r w:rsidR="00C2048C">
        <w:rPr>
          <w:rFonts w:ascii="Gill Sans MT" w:hAnsi="Gill Sans MT"/>
          <w:sz w:val="24"/>
          <w:szCs w:val="24"/>
        </w:rPr>
        <w:t xml:space="preserve">continuance of that surgery service. </w:t>
      </w:r>
    </w:p>
    <w:p w14:paraId="2B976BAD" w14:textId="26C60721" w:rsidR="00A936EE" w:rsidRDefault="00A936EE" w:rsidP="00BA5AEE">
      <w:pPr>
        <w:jc w:val="both"/>
        <w:rPr>
          <w:rFonts w:ascii="Gill Sans MT" w:hAnsi="Gill Sans MT"/>
          <w:sz w:val="24"/>
          <w:szCs w:val="24"/>
        </w:rPr>
      </w:pPr>
      <w:r>
        <w:rPr>
          <w:rFonts w:ascii="Gill Sans MT" w:hAnsi="Gill Sans MT"/>
          <w:sz w:val="24"/>
          <w:szCs w:val="24"/>
        </w:rPr>
        <w:t>It is damning that the ICB has washed its hands of its responsibilities</w:t>
      </w:r>
      <w:r w:rsidR="00756FE9">
        <w:rPr>
          <w:rFonts w:ascii="Gill Sans MT" w:hAnsi="Gill Sans MT"/>
          <w:sz w:val="24"/>
          <w:szCs w:val="24"/>
        </w:rPr>
        <w:t xml:space="preserve"> throughout the consultation </w:t>
      </w:r>
      <w:r w:rsidR="001C2612">
        <w:rPr>
          <w:rFonts w:ascii="Gill Sans MT" w:hAnsi="Gill Sans MT"/>
          <w:sz w:val="24"/>
          <w:szCs w:val="24"/>
        </w:rPr>
        <w:t>process and the review.</w:t>
      </w:r>
    </w:p>
    <w:p w14:paraId="27FEC533" w14:textId="77777777" w:rsidR="00EF1279" w:rsidRDefault="00EF1279" w:rsidP="00BA5AEE">
      <w:pPr>
        <w:jc w:val="both"/>
        <w:rPr>
          <w:rFonts w:ascii="Gill Sans MT" w:hAnsi="Gill Sans MT"/>
          <w:sz w:val="24"/>
          <w:szCs w:val="24"/>
        </w:rPr>
      </w:pPr>
    </w:p>
    <w:p w14:paraId="0BD32446" w14:textId="77777777" w:rsidR="009A030B" w:rsidRDefault="009A030B" w:rsidP="00BA5AEE">
      <w:pPr>
        <w:jc w:val="both"/>
        <w:rPr>
          <w:rFonts w:ascii="Gill Sans MT" w:hAnsi="Gill Sans MT"/>
          <w:sz w:val="24"/>
          <w:szCs w:val="24"/>
        </w:rPr>
      </w:pPr>
      <w:r w:rsidRPr="00D54B0E">
        <w:rPr>
          <w:noProof/>
          <w:lang w:eastAsia="en-GB"/>
        </w:rPr>
        <w:drawing>
          <wp:inline distT="0" distB="0" distL="0" distR="0" wp14:anchorId="41C294C9" wp14:editId="36C39906">
            <wp:extent cx="2150579" cy="586789"/>
            <wp:effectExtent l="19050" t="0" r="21590" b="213360"/>
            <wp:docPr id="1585879895" name="Picture 1" descr="A close-up of a handwritten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5879895" name="Picture 1" descr="A close-up of a handwritten text&#10;&#10;AI-generated content may be incorrect."/>
                    <pic:cNvPicPr>
                      <a:picLocks noChangeAspect="1" noChangeArrowheads="1"/>
                    </pic:cNvPicPr>
                  </pic:nvPicPr>
                  <pic:blipFill>
                    <a:blip r:embed="rId7"/>
                    <a:srcRect/>
                    <a:stretch>
                      <a:fillRect/>
                    </a:stretch>
                  </pic:blipFill>
                  <pic:spPr bwMode="auto">
                    <a:xfrm>
                      <a:off x="0" y="0"/>
                      <a:ext cx="2150110" cy="5867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410F750" w14:textId="31B1C4AE" w:rsidR="00BC370D" w:rsidRDefault="00BC370D" w:rsidP="00BA5AEE">
      <w:pPr>
        <w:jc w:val="both"/>
        <w:rPr>
          <w:rFonts w:ascii="Gill Sans MT" w:hAnsi="Gill Sans MT"/>
          <w:sz w:val="24"/>
          <w:szCs w:val="24"/>
        </w:rPr>
      </w:pPr>
      <w:r>
        <w:rPr>
          <w:rFonts w:ascii="Gill Sans MT" w:hAnsi="Gill Sans MT"/>
          <w:sz w:val="24"/>
          <w:szCs w:val="24"/>
        </w:rPr>
        <w:t>John Alexander McFadyen</w:t>
      </w:r>
    </w:p>
    <w:p w14:paraId="248A3C01" w14:textId="6E8F012C" w:rsidR="0088327D" w:rsidRPr="00786C2D" w:rsidRDefault="006D60BD" w:rsidP="00820904">
      <w:pPr>
        <w:jc w:val="both"/>
        <w:rPr>
          <w:rFonts w:ascii="Gill Sans MT" w:hAnsi="Gill Sans MT"/>
          <w:sz w:val="24"/>
          <w:szCs w:val="24"/>
        </w:rPr>
      </w:pPr>
      <w:r>
        <w:rPr>
          <w:rFonts w:ascii="Gill Sans MT" w:hAnsi="Gill Sans MT"/>
          <w:sz w:val="24"/>
          <w:szCs w:val="24"/>
        </w:rPr>
        <w:t>0</w:t>
      </w:r>
      <w:r w:rsidR="001C2612">
        <w:rPr>
          <w:rFonts w:ascii="Gill Sans MT" w:hAnsi="Gill Sans MT"/>
          <w:sz w:val="24"/>
          <w:szCs w:val="24"/>
        </w:rPr>
        <w:t>6</w:t>
      </w:r>
      <w:r>
        <w:rPr>
          <w:rFonts w:ascii="Gill Sans MT" w:hAnsi="Gill Sans MT"/>
          <w:sz w:val="24"/>
          <w:szCs w:val="24"/>
        </w:rPr>
        <w:t>/07/25</w:t>
      </w:r>
    </w:p>
    <w:sectPr w:rsidR="0088327D" w:rsidRPr="00786C2D" w:rsidSect="00820904">
      <w:headerReference w:type="default" r:id="rId8"/>
      <w:pgSz w:w="11906" w:h="16838"/>
      <w:pgMar w:top="1134"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A46C" w14:textId="77777777" w:rsidR="00626EDD" w:rsidRDefault="00626EDD" w:rsidP="00C20D57">
      <w:pPr>
        <w:spacing w:after="0" w:line="240" w:lineRule="auto"/>
      </w:pPr>
      <w:r>
        <w:separator/>
      </w:r>
    </w:p>
  </w:endnote>
  <w:endnote w:type="continuationSeparator" w:id="0">
    <w:p w14:paraId="65238517" w14:textId="77777777" w:rsidR="00626EDD" w:rsidRDefault="00626EDD" w:rsidP="00C2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F955" w14:textId="77777777" w:rsidR="00626EDD" w:rsidRDefault="00626EDD" w:rsidP="00C20D57">
      <w:pPr>
        <w:spacing w:after="0" w:line="240" w:lineRule="auto"/>
      </w:pPr>
      <w:r>
        <w:separator/>
      </w:r>
    </w:p>
  </w:footnote>
  <w:footnote w:type="continuationSeparator" w:id="0">
    <w:p w14:paraId="41FBC608" w14:textId="77777777" w:rsidR="00626EDD" w:rsidRDefault="00626EDD" w:rsidP="00C2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0C73A5A3" w14:textId="77777777" w:rsidR="00C20D57" w:rsidRDefault="00C20D57">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AE48C5C" w14:textId="77777777" w:rsidR="00C20D57" w:rsidRDefault="00C20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44A64"/>
    <w:multiLevelType w:val="hybridMultilevel"/>
    <w:tmpl w:val="3EC0A8B0"/>
    <w:lvl w:ilvl="0" w:tplc="D62C0B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585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2D"/>
    <w:rsid w:val="00024496"/>
    <w:rsid w:val="00052693"/>
    <w:rsid w:val="000673CC"/>
    <w:rsid w:val="0008191C"/>
    <w:rsid w:val="00085FDC"/>
    <w:rsid w:val="00090AE3"/>
    <w:rsid w:val="000C34BC"/>
    <w:rsid w:val="000C4540"/>
    <w:rsid w:val="00105063"/>
    <w:rsid w:val="001262EB"/>
    <w:rsid w:val="00143C5C"/>
    <w:rsid w:val="00144278"/>
    <w:rsid w:val="00155E5E"/>
    <w:rsid w:val="00182993"/>
    <w:rsid w:val="00193A82"/>
    <w:rsid w:val="00195B8B"/>
    <w:rsid w:val="001B2653"/>
    <w:rsid w:val="001C2612"/>
    <w:rsid w:val="001C5B77"/>
    <w:rsid w:val="001C7B04"/>
    <w:rsid w:val="001D4559"/>
    <w:rsid w:val="00200FE3"/>
    <w:rsid w:val="00203DF9"/>
    <w:rsid w:val="00217A5E"/>
    <w:rsid w:val="00232EC9"/>
    <w:rsid w:val="002359F8"/>
    <w:rsid w:val="002531A1"/>
    <w:rsid w:val="00270A74"/>
    <w:rsid w:val="002874EA"/>
    <w:rsid w:val="0029604F"/>
    <w:rsid w:val="002C5FD6"/>
    <w:rsid w:val="002D6719"/>
    <w:rsid w:val="002F5BC3"/>
    <w:rsid w:val="002F69B8"/>
    <w:rsid w:val="002F765C"/>
    <w:rsid w:val="0034713B"/>
    <w:rsid w:val="0037097D"/>
    <w:rsid w:val="00375B39"/>
    <w:rsid w:val="003A70FC"/>
    <w:rsid w:val="003C540B"/>
    <w:rsid w:val="003D3DEB"/>
    <w:rsid w:val="003E1749"/>
    <w:rsid w:val="0041598E"/>
    <w:rsid w:val="00433803"/>
    <w:rsid w:val="004743BF"/>
    <w:rsid w:val="004A3723"/>
    <w:rsid w:val="004C31A1"/>
    <w:rsid w:val="004C43D3"/>
    <w:rsid w:val="004F337E"/>
    <w:rsid w:val="004F7217"/>
    <w:rsid w:val="005016C0"/>
    <w:rsid w:val="0052195E"/>
    <w:rsid w:val="00552A08"/>
    <w:rsid w:val="00553FD9"/>
    <w:rsid w:val="00574390"/>
    <w:rsid w:val="005A227E"/>
    <w:rsid w:val="005B4140"/>
    <w:rsid w:val="005F051D"/>
    <w:rsid w:val="00600567"/>
    <w:rsid w:val="006039A3"/>
    <w:rsid w:val="00623BB2"/>
    <w:rsid w:val="00624A34"/>
    <w:rsid w:val="00626D70"/>
    <w:rsid w:val="00626EDD"/>
    <w:rsid w:val="00632E30"/>
    <w:rsid w:val="0064324C"/>
    <w:rsid w:val="00645AEA"/>
    <w:rsid w:val="0066375C"/>
    <w:rsid w:val="006763D3"/>
    <w:rsid w:val="006B347B"/>
    <w:rsid w:val="006B5330"/>
    <w:rsid w:val="006B781A"/>
    <w:rsid w:val="006C23B6"/>
    <w:rsid w:val="006C4C9D"/>
    <w:rsid w:val="006D0051"/>
    <w:rsid w:val="006D60BD"/>
    <w:rsid w:val="006F79F6"/>
    <w:rsid w:val="006F7A2A"/>
    <w:rsid w:val="00722A86"/>
    <w:rsid w:val="00724E71"/>
    <w:rsid w:val="00726980"/>
    <w:rsid w:val="007343CB"/>
    <w:rsid w:val="00741FA0"/>
    <w:rsid w:val="0075079F"/>
    <w:rsid w:val="00754A68"/>
    <w:rsid w:val="00756FE9"/>
    <w:rsid w:val="00760BC2"/>
    <w:rsid w:val="00786C2D"/>
    <w:rsid w:val="007A39EB"/>
    <w:rsid w:val="007A5C43"/>
    <w:rsid w:val="007B2F80"/>
    <w:rsid w:val="00816E6B"/>
    <w:rsid w:val="00820904"/>
    <w:rsid w:val="00824E2D"/>
    <w:rsid w:val="008279ED"/>
    <w:rsid w:val="008350E3"/>
    <w:rsid w:val="00861496"/>
    <w:rsid w:val="00867132"/>
    <w:rsid w:val="0087445A"/>
    <w:rsid w:val="00876CD1"/>
    <w:rsid w:val="008772D2"/>
    <w:rsid w:val="0088327D"/>
    <w:rsid w:val="008834AD"/>
    <w:rsid w:val="008848F1"/>
    <w:rsid w:val="00886295"/>
    <w:rsid w:val="008C19D3"/>
    <w:rsid w:val="008D6F50"/>
    <w:rsid w:val="00936B47"/>
    <w:rsid w:val="00950FEF"/>
    <w:rsid w:val="00954DD5"/>
    <w:rsid w:val="009655B2"/>
    <w:rsid w:val="00975C03"/>
    <w:rsid w:val="0098787A"/>
    <w:rsid w:val="009A030B"/>
    <w:rsid w:val="009B1F4F"/>
    <w:rsid w:val="009B4DBC"/>
    <w:rsid w:val="009B557D"/>
    <w:rsid w:val="009C28F3"/>
    <w:rsid w:val="009E65D2"/>
    <w:rsid w:val="00A5179D"/>
    <w:rsid w:val="00A53FB2"/>
    <w:rsid w:val="00A673F6"/>
    <w:rsid w:val="00A85CD8"/>
    <w:rsid w:val="00A906FB"/>
    <w:rsid w:val="00A936EE"/>
    <w:rsid w:val="00A94D7A"/>
    <w:rsid w:val="00AA5B79"/>
    <w:rsid w:val="00AB3D0A"/>
    <w:rsid w:val="00AB7BEA"/>
    <w:rsid w:val="00AC066D"/>
    <w:rsid w:val="00AC194E"/>
    <w:rsid w:val="00AD7AFA"/>
    <w:rsid w:val="00AE4C18"/>
    <w:rsid w:val="00B0389B"/>
    <w:rsid w:val="00B07923"/>
    <w:rsid w:val="00B14FAC"/>
    <w:rsid w:val="00B17AE4"/>
    <w:rsid w:val="00B20B4C"/>
    <w:rsid w:val="00B3611F"/>
    <w:rsid w:val="00B4305D"/>
    <w:rsid w:val="00B62820"/>
    <w:rsid w:val="00B65803"/>
    <w:rsid w:val="00B708DC"/>
    <w:rsid w:val="00B83EC9"/>
    <w:rsid w:val="00B8554E"/>
    <w:rsid w:val="00B90A07"/>
    <w:rsid w:val="00BA550D"/>
    <w:rsid w:val="00BA5AEE"/>
    <w:rsid w:val="00BC370D"/>
    <w:rsid w:val="00C15752"/>
    <w:rsid w:val="00C158E3"/>
    <w:rsid w:val="00C1724C"/>
    <w:rsid w:val="00C2048C"/>
    <w:rsid w:val="00C20D57"/>
    <w:rsid w:val="00C24587"/>
    <w:rsid w:val="00C346D5"/>
    <w:rsid w:val="00C4266B"/>
    <w:rsid w:val="00C521FC"/>
    <w:rsid w:val="00C80AED"/>
    <w:rsid w:val="00C86240"/>
    <w:rsid w:val="00C96BC4"/>
    <w:rsid w:val="00CA519F"/>
    <w:rsid w:val="00CB11CF"/>
    <w:rsid w:val="00CB3D03"/>
    <w:rsid w:val="00D1703D"/>
    <w:rsid w:val="00D26701"/>
    <w:rsid w:val="00D31067"/>
    <w:rsid w:val="00D51559"/>
    <w:rsid w:val="00D55269"/>
    <w:rsid w:val="00D62BA2"/>
    <w:rsid w:val="00D6318E"/>
    <w:rsid w:val="00D827FE"/>
    <w:rsid w:val="00D87ECF"/>
    <w:rsid w:val="00DA3DF8"/>
    <w:rsid w:val="00DA4F40"/>
    <w:rsid w:val="00DB7DB9"/>
    <w:rsid w:val="00DE2547"/>
    <w:rsid w:val="00DE4908"/>
    <w:rsid w:val="00E03CD2"/>
    <w:rsid w:val="00E172AC"/>
    <w:rsid w:val="00E570CF"/>
    <w:rsid w:val="00E773EE"/>
    <w:rsid w:val="00EB4B55"/>
    <w:rsid w:val="00ED2E93"/>
    <w:rsid w:val="00EE2134"/>
    <w:rsid w:val="00EE7346"/>
    <w:rsid w:val="00EF1279"/>
    <w:rsid w:val="00F120E6"/>
    <w:rsid w:val="00F147B4"/>
    <w:rsid w:val="00F24026"/>
    <w:rsid w:val="00F27EF8"/>
    <w:rsid w:val="00F55226"/>
    <w:rsid w:val="00F65DBF"/>
    <w:rsid w:val="00F90007"/>
    <w:rsid w:val="00FA39FE"/>
    <w:rsid w:val="00FD637F"/>
    <w:rsid w:val="00FE4537"/>
    <w:rsid w:val="00FF7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D4F7"/>
  <w15:chartTrackingRefBased/>
  <w15:docId w15:val="{3A005355-89B8-4186-B278-2DF7F7FF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C2D"/>
    <w:rPr>
      <w:rFonts w:eastAsiaTheme="majorEastAsia" w:cstheme="majorBidi"/>
      <w:color w:val="272727" w:themeColor="text1" w:themeTint="D8"/>
    </w:rPr>
  </w:style>
  <w:style w:type="paragraph" w:styleId="Title">
    <w:name w:val="Title"/>
    <w:basedOn w:val="Normal"/>
    <w:next w:val="Normal"/>
    <w:link w:val="TitleChar"/>
    <w:uiPriority w:val="10"/>
    <w:qFormat/>
    <w:rsid w:val="00786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C2D"/>
    <w:pPr>
      <w:spacing w:before="160"/>
      <w:jc w:val="center"/>
    </w:pPr>
    <w:rPr>
      <w:i/>
      <w:iCs/>
      <w:color w:val="404040" w:themeColor="text1" w:themeTint="BF"/>
    </w:rPr>
  </w:style>
  <w:style w:type="character" w:customStyle="1" w:styleId="QuoteChar">
    <w:name w:val="Quote Char"/>
    <w:basedOn w:val="DefaultParagraphFont"/>
    <w:link w:val="Quote"/>
    <w:uiPriority w:val="29"/>
    <w:rsid w:val="00786C2D"/>
    <w:rPr>
      <w:i/>
      <w:iCs/>
      <w:color w:val="404040" w:themeColor="text1" w:themeTint="BF"/>
    </w:rPr>
  </w:style>
  <w:style w:type="paragraph" w:styleId="ListParagraph">
    <w:name w:val="List Paragraph"/>
    <w:basedOn w:val="Normal"/>
    <w:uiPriority w:val="34"/>
    <w:qFormat/>
    <w:rsid w:val="00786C2D"/>
    <w:pPr>
      <w:ind w:left="720"/>
      <w:contextualSpacing/>
    </w:pPr>
  </w:style>
  <w:style w:type="character" w:styleId="IntenseEmphasis">
    <w:name w:val="Intense Emphasis"/>
    <w:basedOn w:val="DefaultParagraphFont"/>
    <w:uiPriority w:val="21"/>
    <w:qFormat/>
    <w:rsid w:val="00786C2D"/>
    <w:rPr>
      <w:i/>
      <w:iCs/>
      <w:color w:val="0F4761" w:themeColor="accent1" w:themeShade="BF"/>
    </w:rPr>
  </w:style>
  <w:style w:type="paragraph" w:styleId="IntenseQuote">
    <w:name w:val="Intense Quote"/>
    <w:basedOn w:val="Normal"/>
    <w:next w:val="Normal"/>
    <w:link w:val="IntenseQuoteChar"/>
    <w:uiPriority w:val="30"/>
    <w:qFormat/>
    <w:rsid w:val="00786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C2D"/>
    <w:rPr>
      <w:i/>
      <w:iCs/>
      <w:color w:val="0F4761" w:themeColor="accent1" w:themeShade="BF"/>
    </w:rPr>
  </w:style>
  <w:style w:type="character" w:styleId="IntenseReference">
    <w:name w:val="Intense Reference"/>
    <w:basedOn w:val="DefaultParagraphFont"/>
    <w:uiPriority w:val="32"/>
    <w:qFormat/>
    <w:rsid w:val="00786C2D"/>
    <w:rPr>
      <w:b/>
      <w:bCs/>
      <w:smallCaps/>
      <w:color w:val="0F4761" w:themeColor="accent1" w:themeShade="BF"/>
      <w:spacing w:val="5"/>
    </w:rPr>
  </w:style>
  <w:style w:type="paragraph" w:styleId="Header">
    <w:name w:val="header"/>
    <w:basedOn w:val="Normal"/>
    <w:link w:val="HeaderChar"/>
    <w:uiPriority w:val="99"/>
    <w:unhideWhenUsed/>
    <w:rsid w:val="00C20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D57"/>
  </w:style>
  <w:style w:type="paragraph" w:styleId="Footer">
    <w:name w:val="footer"/>
    <w:basedOn w:val="Normal"/>
    <w:link w:val="FooterChar"/>
    <w:uiPriority w:val="99"/>
    <w:unhideWhenUsed/>
    <w:rsid w:val="00C20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1325</TotalTime>
  <Pages>5</Pages>
  <Words>2080</Words>
  <Characters>11858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Jocko McFadyen</dc:creator>
  <cp:keywords/>
  <dc:description/>
  <cp:lastModifiedBy>Jocko McFadyen</cp:lastModifiedBy>
  <cp:revision>184</cp:revision>
  <dcterms:created xsi:type="dcterms:W3CDTF">2025-07-04T17:20:00Z</dcterms:created>
  <dcterms:modified xsi:type="dcterms:W3CDTF">2025-07-06T10:23:00Z</dcterms:modified>
</cp:coreProperties>
</file>